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4259" w:tblpY="511"/>
        <w:tblW w:w="7655" w:type="dxa"/>
        <w:tblLayout w:type="fixed"/>
        <w:tblCellMar>
          <w:left w:w="0" w:type="dxa"/>
          <w:right w:w="0" w:type="dxa"/>
        </w:tblCellMar>
        <w:tblLook w:val="0000" w:firstRow="0" w:lastRow="0" w:firstColumn="0" w:lastColumn="0" w:noHBand="0" w:noVBand="0"/>
      </w:tblPr>
      <w:tblGrid>
        <w:gridCol w:w="2552"/>
        <w:gridCol w:w="2268"/>
        <w:gridCol w:w="2835"/>
      </w:tblGrid>
      <w:tr w:rsidR="00C8642F" w:rsidTr="009762B4">
        <w:trPr>
          <w:cantSplit/>
        </w:trPr>
        <w:tc>
          <w:tcPr>
            <w:tcW w:w="2552" w:type="dxa"/>
          </w:tcPr>
          <w:p w:rsidR="00C8642F" w:rsidRPr="00351D43" w:rsidRDefault="00347806" w:rsidP="009762B4">
            <w:pPr>
              <w:pStyle w:val="SGAHeaderBold"/>
              <w:rPr>
                <w:b w:val="0"/>
                <w:sz w:val="16"/>
                <w:szCs w:val="16"/>
                <w:lang w:val="de-DE"/>
              </w:rPr>
            </w:pPr>
            <w:r w:rsidRPr="00351D43">
              <w:rPr>
                <w:sz w:val="16"/>
                <w:szCs w:val="16"/>
                <w:lang w:val="de-DE"/>
              </w:rPr>
              <w:t>Simon Baker</w:t>
            </w:r>
          </w:p>
          <w:p w:rsidR="00C8642F" w:rsidRPr="00351D43" w:rsidRDefault="00347806" w:rsidP="009762B4">
            <w:pPr>
              <w:pStyle w:val="SGAHeader"/>
              <w:rPr>
                <w:sz w:val="16"/>
                <w:szCs w:val="16"/>
              </w:rPr>
            </w:pPr>
            <w:r w:rsidRPr="00351D43">
              <w:rPr>
                <w:sz w:val="16"/>
                <w:szCs w:val="16"/>
              </w:rPr>
              <w:t>Product Chemistry Manager</w:t>
            </w:r>
          </w:p>
        </w:tc>
        <w:tc>
          <w:tcPr>
            <w:tcW w:w="2268" w:type="dxa"/>
          </w:tcPr>
          <w:p w:rsidR="00C8642F" w:rsidRPr="00351D43" w:rsidRDefault="00CC4066" w:rsidP="009762B4">
            <w:pPr>
              <w:pStyle w:val="SGAHeaderSender"/>
              <w:rPr>
                <w:sz w:val="16"/>
                <w:szCs w:val="16"/>
              </w:rPr>
            </w:pPr>
            <w:r>
              <w:rPr>
                <w:sz w:val="16"/>
                <w:szCs w:val="16"/>
              </w:rPr>
              <w:t xml:space="preserve">Tel: </w:t>
            </w:r>
            <w:r w:rsidR="00C8642F" w:rsidRPr="00351D43">
              <w:rPr>
                <w:sz w:val="16"/>
                <w:szCs w:val="16"/>
              </w:rPr>
              <w:t>+</w:t>
            </w:r>
            <w:r w:rsidR="00347806" w:rsidRPr="00351D43">
              <w:rPr>
                <w:sz w:val="16"/>
                <w:szCs w:val="16"/>
              </w:rPr>
              <w:t>44 (0)1344 414308</w:t>
            </w:r>
          </w:p>
          <w:p w:rsidR="00C8642F" w:rsidRPr="00351D43" w:rsidRDefault="00347806" w:rsidP="00347806">
            <w:pPr>
              <w:pStyle w:val="SGAHeaderSender"/>
              <w:rPr>
                <w:sz w:val="16"/>
                <w:szCs w:val="16"/>
                <w:lang w:val="fr-FR"/>
              </w:rPr>
            </w:pPr>
            <w:r w:rsidRPr="00351D43">
              <w:rPr>
                <w:sz w:val="16"/>
                <w:szCs w:val="16"/>
                <w:lang w:val="fr-FR"/>
              </w:rPr>
              <w:t>simon.baker@syngenta.com</w:t>
            </w:r>
            <w:r w:rsidR="00C8642F" w:rsidRPr="00351D43">
              <w:rPr>
                <w:sz w:val="16"/>
                <w:szCs w:val="16"/>
                <w:lang w:val="fr-FR"/>
              </w:rPr>
              <w:br/>
            </w:r>
          </w:p>
        </w:tc>
        <w:tc>
          <w:tcPr>
            <w:tcW w:w="2835" w:type="dxa"/>
          </w:tcPr>
          <w:p w:rsidR="00C8642F" w:rsidRPr="00351D43" w:rsidRDefault="00347806" w:rsidP="009762B4">
            <w:pPr>
              <w:pStyle w:val="SGAHeaderBold"/>
              <w:rPr>
                <w:sz w:val="16"/>
                <w:szCs w:val="16"/>
              </w:rPr>
            </w:pPr>
            <w:r w:rsidRPr="00351D43">
              <w:rPr>
                <w:sz w:val="16"/>
                <w:szCs w:val="16"/>
              </w:rPr>
              <w:t>Syngenta</w:t>
            </w:r>
          </w:p>
          <w:p w:rsidR="00C8642F" w:rsidRPr="00351D43" w:rsidRDefault="00347806" w:rsidP="009762B4">
            <w:pPr>
              <w:pStyle w:val="SGAHeader"/>
              <w:rPr>
                <w:sz w:val="16"/>
                <w:szCs w:val="16"/>
              </w:rPr>
            </w:pPr>
            <w:r w:rsidRPr="00351D43">
              <w:rPr>
                <w:sz w:val="16"/>
                <w:szCs w:val="16"/>
              </w:rPr>
              <w:t>Jealotts Hill International Research Centre</w:t>
            </w:r>
          </w:p>
          <w:p w:rsidR="00C8642F" w:rsidRPr="00351D43" w:rsidRDefault="00347806" w:rsidP="009762B4">
            <w:pPr>
              <w:pStyle w:val="SGAHeader"/>
              <w:rPr>
                <w:sz w:val="16"/>
                <w:szCs w:val="16"/>
              </w:rPr>
            </w:pPr>
            <w:r w:rsidRPr="00351D43">
              <w:rPr>
                <w:sz w:val="16"/>
                <w:szCs w:val="16"/>
              </w:rPr>
              <w:t>Bracknell</w:t>
            </w:r>
          </w:p>
          <w:p w:rsidR="00C8642F" w:rsidRPr="00351D43" w:rsidRDefault="00347806" w:rsidP="009762B4">
            <w:pPr>
              <w:pStyle w:val="SGAHeader"/>
              <w:rPr>
                <w:sz w:val="16"/>
                <w:szCs w:val="16"/>
              </w:rPr>
            </w:pPr>
            <w:r w:rsidRPr="00351D43">
              <w:rPr>
                <w:sz w:val="16"/>
                <w:szCs w:val="16"/>
              </w:rPr>
              <w:t>Berkshire, RG42 6EY</w:t>
            </w:r>
          </w:p>
          <w:p w:rsidR="00C8642F" w:rsidRPr="00351D43" w:rsidRDefault="00347806" w:rsidP="009762B4">
            <w:pPr>
              <w:pStyle w:val="SGAHeader"/>
              <w:rPr>
                <w:sz w:val="16"/>
                <w:szCs w:val="16"/>
              </w:rPr>
            </w:pPr>
            <w:r w:rsidRPr="00351D43">
              <w:rPr>
                <w:sz w:val="16"/>
                <w:szCs w:val="16"/>
              </w:rPr>
              <w:t>United Kingdom</w:t>
            </w:r>
          </w:p>
          <w:p w:rsidR="00C8642F" w:rsidRPr="00351D43" w:rsidRDefault="00C8642F" w:rsidP="009762B4">
            <w:pPr>
              <w:pStyle w:val="SGAHeader"/>
              <w:rPr>
                <w:sz w:val="16"/>
                <w:szCs w:val="16"/>
              </w:rPr>
            </w:pPr>
            <w:r w:rsidRPr="00351D43">
              <w:rPr>
                <w:sz w:val="16"/>
                <w:szCs w:val="16"/>
              </w:rPr>
              <w:t>www.syngenta.com</w:t>
            </w:r>
          </w:p>
        </w:tc>
      </w:tr>
    </w:tbl>
    <w:p w:rsidR="009A076D" w:rsidRDefault="009A076D" w:rsidP="009A076D">
      <w:pPr>
        <w:pStyle w:val="SGARecipient"/>
        <w:rPr>
          <w:lang w:val="en-IE"/>
        </w:rPr>
      </w:pPr>
      <w:r>
        <w:rPr>
          <w:lang w:val="en-IE"/>
        </w:rPr>
        <w:t>Dr Markus Muller</w:t>
      </w:r>
    </w:p>
    <w:p w:rsidR="009A076D" w:rsidRDefault="009A076D" w:rsidP="009A076D">
      <w:pPr>
        <w:pStyle w:val="SGARecipient"/>
        <w:rPr>
          <w:lang w:val="en-IE"/>
        </w:rPr>
      </w:pPr>
      <w:r>
        <w:rPr>
          <w:lang w:val="en-IE"/>
        </w:rPr>
        <w:t>Stockenstrasse 97</w:t>
      </w:r>
    </w:p>
    <w:p w:rsidR="009A076D" w:rsidRDefault="009A076D" w:rsidP="009A076D">
      <w:pPr>
        <w:pStyle w:val="SGARecipient"/>
        <w:rPr>
          <w:lang w:val="en-IE"/>
        </w:rPr>
      </w:pPr>
      <w:r>
        <w:rPr>
          <w:lang w:val="en-IE"/>
        </w:rPr>
        <w:t>8802 Kilchberg</w:t>
      </w:r>
    </w:p>
    <w:p w:rsidR="009A076D" w:rsidRDefault="009A076D" w:rsidP="009A076D">
      <w:pPr>
        <w:pStyle w:val="SGARecipient"/>
      </w:pPr>
      <w:r>
        <w:t>Switzerland</w:t>
      </w:r>
    </w:p>
    <w:p w:rsidR="009A076D" w:rsidRDefault="009A076D" w:rsidP="009A076D">
      <w:pPr>
        <w:pStyle w:val="SGARecipient"/>
        <w:rPr>
          <w:lang w:val="en-IE"/>
        </w:rPr>
      </w:pPr>
      <w:r>
        <w:t>markusdmueller@ethz.ch</w:t>
      </w:r>
    </w:p>
    <w:p w:rsidR="009A076D" w:rsidRDefault="009A076D" w:rsidP="009A076D">
      <w:pPr>
        <w:pStyle w:val="SGARecipient"/>
        <w:rPr>
          <w:lang w:val="en-IE"/>
        </w:rPr>
      </w:pPr>
    </w:p>
    <w:p w:rsidR="009A076D" w:rsidRDefault="009A076D" w:rsidP="009A076D">
      <w:pPr>
        <w:pStyle w:val="SGARecipient"/>
        <w:rPr>
          <w:lang w:val="en-IE"/>
        </w:rPr>
      </w:pPr>
    </w:p>
    <w:p w:rsidR="009A076D" w:rsidRPr="00051B2D" w:rsidRDefault="009A076D" w:rsidP="009A076D">
      <w:pPr>
        <w:pStyle w:val="SGARecipient"/>
        <w:rPr>
          <w:lang w:val="en-IE"/>
        </w:rPr>
      </w:pPr>
      <w:r>
        <w:tab/>
      </w:r>
      <w:r>
        <w:tab/>
      </w:r>
      <w:r>
        <w:tab/>
      </w:r>
      <w:r>
        <w:tab/>
      </w:r>
      <w:r>
        <w:tab/>
      </w:r>
      <w:r w:rsidR="006E46EA">
        <w:t>31</w:t>
      </w:r>
      <w:bookmarkStart w:id="0" w:name="_GoBack"/>
      <w:bookmarkEnd w:id="0"/>
      <w:r>
        <w:rPr>
          <w:vertAlign w:val="superscript"/>
        </w:rPr>
        <w:t>st</w:t>
      </w:r>
      <w:r>
        <w:t xml:space="preserve"> October, 2019</w:t>
      </w:r>
    </w:p>
    <w:p w:rsidR="009A076D" w:rsidRPr="00037A53" w:rsidRDefault="009A076D" w:rsidP="009A076D">
      <w:pPr>
        <w:pStyle w:val="SGAText"/>
        <w:rPr>
          <w:b/>
          <w:lang w:val="en-GB"/>
        </w:rPr>
      </w:pPr>
    </w:p>
    <w:p w:rsidR="009A076D" w:rsidRDefault="009A076D" w:rsidP="009A076D">
      <w:pPr>
        <w:pStyle w:val="SGAText"/>
        <w:jc w:val="both"/>
        <w:rPr>
          <w:b/>
          <w:bCs/>
          <w:lang w:val="en-GB"/>
        </w:rPr>
      </w:pPr>
      <w:r>
        <w:rPr>
          <w:b/>
          <w:bCs/>
          <w:lang w:val="en-GB"/>
        </w:rPr>
        <w:t xml:space="preserve">Application for FAO/WHO Specification Development: </w:t>
      </w:r>
    </w:p>
    <w:p w:rsidR="009A076D" w:rsidRDefault="009A076D" w:rsidP="009A076D">
      <w:pPr>
        <w:pStyle w:val="SGAText"/>
        <w:jc w:val="both"/>
        <w:rPr>
          <w:b/>
          <w:bCs/>
          <w:lang w:val="en-GB"/>
        </w:rPr>
      </w:pPr>
      <w:r>
        <w:rPr>
          <w:b/>
          <w:bCs/>
          <w:lang w:val="en-GB"/>
        </w:rPr>
        <w:t>Application number: JMPS2020-001</w:t>
      </w:r>
    </w:p>
    <w:p w:rsidR="009A076D" w:rsidRDefault="009A076D" w:rsidP="009A076D">
      <w:pPr>
        <w:pStyle w:val="SGAText"/>
        <w:jc w:val="both"/>
        <w:rPr>
          <w:b/>
          <w:bCs/>
          <w:lang w:val="en-GB"/>
        </w:rPr>
      </w:pPr>
    </w:p>
    <w:p w:rsidR="009A076D" w:rsidRPr="00FD365C" w:rsidRDefault="009A076D" w:rsidP="009A076D">
      <w:pPr>
        <w:pStyle w:val="SGAText"/>
        <w:jc w:val="both"/>
        <w:rPr>
          <w:b/>
          <w:bCs/>
          <w:u w:val="single"/>
          <w:lang w:val="en-GB"/>
        </w:rPr>
      </w:pPr>
      <w:r w:rsidRPr="00FD365C">
        <w:rPr>
          <w:b/>
          <w:bCs/>
          <w:u w:val="single"/>
          <w:lang w:val="en-GB"/>
        </w:rPr>
        <w:t>Lambda-cyhalothrin WHO Specification 463/CS</w:t>
      </w:r>
    </w:p>
    <w:p w:rsidR="00030E7F" w:rsidRDefault="00030E7F" w:rsidP="00030E7F">
      <w:pPr>
        <w:pStyle w:val="SGAText"/>
      </w:pPr>
    </w:p>
    <w:p w:rsidR="009A076D" w:rsidRDefault="009A076D" w:rsidP="009A076D">
      <w:pPr>
        <w:pStyle w:val="SGAText"/>
        <w:jc w:val="both"/>
      </w:pPr>
      <w:r w:rsidRPr="00B307FB">
        <w:t xml:space="preserve">Dear </w:t>
      </w:r>
      <w:r>
        <w:t>Dr Muller,</w:t>
      </w:r>
    </w:p>
    <w:p w:rsidR="009A076D" w:rsidRDefault="009A076D" w:rsidP="009A076D">
      <w:pPr>
        <w:pStyle w:val="SGAText"/>
        <w:jc w:val="both"/>
      </w:pPr>
    </w:p>
    <w:p w:rsidR="009A076D" w:rsidRDefault="009A076D" w:rsidP="009A076D">
      <w:pPr>
        <w:pStyle w:val="SGAText"/>
        <w:spacing w:after="240" w:line="240" w:lineRule="auto"/>
        <w:jc w:val="both"/>
      </w:pPr>
      <w:r>
        <w:t>Further to our bilateral discussions in Braunschweig in June this year Syngenta has the pleasure of submitting a package of data to support its proposal to update l</w:t>
      </w:r>
      <w:r w:rsidRPr="00FD365C">
        <w:t>ambda-cyhalothrin WHO Specification 463/CS</w:t>
      </w:r>
      <w:r>
        <w:t>.</w:t>
      </w:r>
    </w:p>
    <w:p w:rsidR="009A076D" w:rsidRDefault="009A076D" w:rsidP="009A076D">
      <w:pPr>
        <w:pStyle w:val="SGAText"/>
        <w:spacing w:after="240" w:line="240" w:lineRule="auto"/>
        <w:jc w:val="both"/>
        <w:rPr>
          <w:lang w:val="en-GB"/>
        </w:rPr>
      </w:pPr>
      <w:r w:rsidRPr="005517BA">
        <w:rPr>
          <w:lang w:val="en-GB"/>
        </w:rPr>
        <w:t>Syngenta periodically reviews the quality control (QC) data associated w</w:t>
      </w:r>
      <w:r>
        <w:rPr>
          <w:lang w:val="en-GB"/>
        </w:rPr>
        <w:t>ith specified products for</w:t>
      </w:r>
      <w:r w:rsidRPr="005517BA">
        <w:rPr>
          <w:lang w:val="en-GB"/>
        </w:rPr>
        <w:t xml:space="preserve"> compliance and also to identify any issues that may require the specification </w:t>
      </w:r>
      <w:r>
        <w:rPr>
          <w:lang w:val="en-GB"/>
        </w:rPr>
        <w:t xml:space="preserve">to be updated, to ensure the </w:t>
      </w:r>
      <w:r w:rsidRPr="005517BA">
        <w:rPr>
          <w:lang w:val="en-GB"/>
        </w:rPr>
        <w:t>relevance of specification limit</w:t>
      </w:r>
      <w:r>
        <w:rPr>
          <w:lang w:val="en-GB"/>
        </w:rPr>
        <w:t>s to the quality of the product</w:t>
      </w:r>
      <w:r w:rsidRPr="005517BA">
        <w:rPr>
          <w:lang w:val="en-GB"/>
        </w:rPr>
        <w:t>.</w:t>
      </w:r>
    </w:p>
    <w:p w:rsidR="009A076D" w:rsidRPr="00DF4680" w:rsidRDefault="009A076D" w:rsidP="009A076D">
      <w:pPr>
        <w:pStyle w:val="SGAText"/>
        <w:spacing w:after="120" w:line="240" w:lineRule="auto"/>
        <w:jc w:val="both"/>
      </w:pPr>
      <w:r>
        <w:t xml:space="preserve">Specifically, in relation to </w:t>
      </w:r>
      <w:r w:rsidRPr="00B81FE9">
        <w:t>WHO Specification 463/CS</w:t>
      </w:r>
      <w:r>
        <w:t>,</w:t>
      </w:r>
      <w:r w:rsidRPr="00B81FE9">
        <w:t xml:space="preserve"> </w:t>
      </w:r>
      <w:r>
        <w:rPr>
          <w:lang w:val="en-GB"/>
        </w:rPr>
        <w:t xml:space="preserve">Syngenta will </w:t>
      </w:r>
      <w:r w:rsidRPr="005517BA">
        <w:rPr>
          <w:lang w:val="en-GB"/>
        </w:rPr>
        <w:t xml:space="preserve">propose a change to the release-rate clause </w:t>
      </w:r>
      <w:r w:rsidRPr="00643211">
        <w:rPr>
          <w:b/>
          <w:i/>
          <w:lang w:val="en-GB"/>
        </w:rPr>
        <w:t>2.4 (Release of lambda-cyhalothrin)</w:t>
      </w:r>
      <w:r w:rsidRPr="005517BA">
        <w:rPr>
          <w:lang w:val="en-GB"/>
        </w:rPr>
        <w:t xml:space="preserve"> in light </w:t>
      </w:r>
      <w:r>
        <w:rPr>
          <w:lang w:val="en-GB"/>
        </w:rPr>
        <w:t xml:space="preserve">of </w:t>
      </w:r>
      <w:r w:rsidRPr="005517BA">
        <w:rPr>
          <w:lang w:val="en-GB"/>
        </w:rPr>
        <w:t>a stewardship exercise involving</w:t>
      </w:r>
      <w:r>
        <w:rPr>
          <w:lang w:val="en-GB"/>
        </w:rPr>
        <w:t xml:space="preserve"> a review of:</w:t>
      </w:r>
    </w:p>
    <w:p w:rsidR="009A076D" w:rsidRPr="005517BA" w:rsidRDefault="009A076D" w:rsidP="009A076D">
      <w:pPr>
        <w:pStyle w:val="SGAText"/>
        <w:numPr>
          <w:ilvl w:val="0"/>
          <w:numId w:val="1"/>
        </w:numPr>
        <w:spacing w:after="60" w:line="240" w:lineRule="auto"/>
        <w:jc w:val="both"/>
        <w:rPr>
          <w:lang w:val="en-GB"/>
        </w:rPr>
      </w:pPr>
      <w:r w:rsidRPr="005517BA">
        <w:rPr>
          <w:lang w:val="en-GB"/>
        </w:rPr>
        <w:t xml:space="preserve">existing release-rate </w:t>
      </w:r>
      <w:r>
        <w:rPr>
          <w:lang w:val="en-GB"/>
        </w:rPr>
        <w:t xml:space="preserve">and biological efficacy </w:t>
      </w:r>
      <w:r w:rsidRPr="005517BA">
        <w:rPr>
          <w:lang w:val="en-GB"/>
        </w:rPr>
        <w:t>data</w:t>
      </w:r>
    </w:p>
    <w:p w:rsidR="009A076D" w:rsidRPr="005517BA" w:rsidRDefault="009A076D" w:rsidP="009A076D">
      <w:pPr>
        <w:pStyle w:val="SGAText"/>
        <w:numPr>
          <w:ilvl w:val="0"/>
          <w:numId w:val="1"/>
        </w:numPr>
        <w:spacing w:after="60" w:line="240" w:lineRule="auto"/>
        <w:jc w:val="both"/>
        <w:rPr>
          <w:lang w:val="en-GB"/>
        </w:rPr>
      </w:pPr>
      <w:r w:rsidRPr="005517BA">
        <w:rPr>
          <w:lang w:val="en-GB"/>
        </w:rPr>
        <w:t>new release-rate data</w:t>
      </w:r>
      <w:r>
        <w:rPr>
          <w:lang w:val="en-GB"/>
        </w:rPr>
        <w:t xml:space="preserve"> (four laboratories)</w:t>
      </w:r>
    </w:p>
    <w:p w:rsidR="009A076D" w:rsidRPr="00B81FE9" w:rsidRDefault="009A076D" w:rsidP="009A076D">
      <w:pPr>
        <w:pStyle w:val="SGAText"/>
        <w:numPr>
          <w:ilvl w:val="0"/>
          <w:numId w:val="1"/>
        </w:numPr>
        <w:spacing w:after="240" w:line="240" w:lineRule="auto"/>
        <w:jc w:val="both"/>
        <w:rPr>
          <w:lang w:val="en-GB"/>
        </w:rPr>
      </w:pPr>
      <w:r>
        <w:rPr>
          <w:lang w:val="en-GB"/>
        </w:rPr>
        <w:t xml:space="preserve">new </w:t>
      </w:r>
      <w:r w:rsidRPr="005517BA">
        <w:rPr>
          <w:lang w:val="en-GB"/>
        </w:rPr>
        <w:t>biological efficacy data</w:t>
      </w:r>
      <w:r>
        <w:rPr>
          <w:lang w:val="en-GB"/>
        </w:rPr>
        <w:t xml:space="preserve"> (laboratory)</w:t>
      </w:r>
    </w:p>
    <w:p w:rsidR="009A076D" w:rsidRDefault="009A076D" w:rsidP="009A076D">
      <w:pPr>
        <w:pStyle w:val="SGAText"/>
        <w:spacing w:after="240" w:line="240" w:lineRule="auto"/>
        <w:jc w:val="both"/>
        <w:rPr>
          <w:lang w:val="en-GB"/>
        </w:rPr>
      </w:pPr>
      <w:r w:rsidRPr="00E24514">
        <w:rPr>
          <w:lang w:val="en-GB"/>
        </w:rPr>
        <w:t>Furthermore, during review of the noted data and definition of a proposal to update of the specification it has become clear that there is also a need to update CIPAC method MT 190 (The Determination of Release Properties of Lambda-cyhalothrin CS Formulations). Discussions are currently underway with CIPAC to determine the way forward and it is expected that an updated MT method and supporting data will be presented at the 2020 CIPAC meeting.</w:t>
      </w:r>
    </w:p>
    <w:p w:rsidR="009A076D" w:rsidRPr="00051B2D" w:rsidRDefault="009A076D" w:rsidP="009A076D">
      <w:pPr>
        <w:pStyle w:val="SGAText"/>
        <w:spacing w:after="240" w:line="240" w:lineRule="auto"/>
        <w:jc w:val="both"/>
        <w:rPr>
          <w:lang w:val="en-GB"/>
        </w:rPr>
      </w:pPr>
      <w:r>
        <w:rPr>
          <w:lang w:val="en-GB"/>
        </w:rPr>
        <w:t>Therefore, in the following pages Syngenta will present its rationale for updating the specification and a summary of the supporting data. The updated specification proposal and supporting study reports are referenced and will be submitted separately to this letter.</w:t>
      </w:r>
    </w:p>
    <w:p w:rsidR="009A076D" w:rsidRPr="00B307FB" w:rsidRDefault="009A076D" w:rsidP="009A076D">
      <w:pPr>
        <w:pStyle w:val="SGAText"/>
        <w:jc w:val="both"/>
        <w:rPr>
          <w:lang w:val="en-GB"/>
        </w:rPr>
      </w:pPr>
      <w:r w:rsidRPr="00051B2D">
        <w:rPr>
          <w:lang w:val="en-GB"/>
        </w:rPr>
        <w:t>If you have any questions or would like me to clarify anything please let me know.</w:t>
      </w:r>
      <w:r w:rsidRPr="00B307FB">
        <w:rPr>
          <w:lang w:val="en-GB"/>
        </w:rPr>
        <w:t xml:space="preserve"> </w:t>
      </w:r>
    </w:p>
    <w:p w:rsidR="009A076D" w:rsidRDefault="009A076D" w:rsidP="009A076D">
      <w:pPr>
        <w:pStyle w:val="SGAGreeting"/>
        <w:jc w:val="both"/>
      </w:pPr>
      <w:r w:rsidRPr="00B307FB">
        <w:rPr>
          <w:lang w:val="en-GB"/>
        </w:rPr>
        <w:t>Yours</w:t>
      </w:r>
      <w:r w:rsidRPr="00B307FB">
        <w:t xml:space="preserve"> sincerely,</w:t>
      </w:r>
    </w:p>
    <w:p w:rsidR="009A076D" w:rsidRDefault="009A076D" w:rsidP="009A076D">
      <w:pPr>
        <w:pStyle w:val="SGAText"/>
      </w:pPr>
    </w:p>
    <w:p w:rsidR="009A076D" w:rsidRDefault="009A076D" w:rsidP="009A076D">
      <w:pPr>
        <w:pStyle w:val="SGAText"/>
      </w:pPr>
    </w:p>
    <w:p w:rsidR="009A076D" w:rsidRPr="009A076D" w:rsidRDefault="009A076D" w:rsidP="009A076D">
      <w:pPr>
        <w:pStyle w:val="SGAText"/>
      </w:pPr>
    </w:p>
    <w:p w:rsidR="009A076D" w:rsidRDefault="009A076D" w:rsidP="00AF5A61">
      <w:pPr>
        <w:pStyle w:val="SGAText"/>
      </w:pPr>
      <w:r w:rsidRPr="00B307FB">
        <w:rPr>
          <w:b/>
        </w:rPr>
        <w:t>Simon Baker</w:t>
      </w:r>
      <w:r w:rsidRPr="00B307FB">
        <w:br/>
        <w:t>Product Chemistry Manager</w:t>
      </w:r>
    </w:p>
    <w:p w:rsidR="00AF5A61" w:rsidRPr="00275EB7" w:rsidRDefault="00AF5A61" w:rsidP="00AF5A61">
      <w:pPr>
        <w:tabs>
          <w:tab w:val="left" w:pos="1713"/>
        </w:tabs>
        <w:spacing w:after="120"/>
        <w:rPr>
          <w:b/>
        </w:rPr>
      </w:pPr>
      <w:r w:rsidRPr="00275EB7">
        <w:rPr>
          <w:b/>
        </w:rPr>
        <w:lastRenderedPageBreak/>
        <w:t>Enclosed:</w:t>
      </w:r>
    </w:p>
    <w:p w:rsidR="00AF5A61" w:rsidRPr="00950C1E" w:rsidRDefault="00AF5A61" w:rsidP="00AF5A61">
      <w:pPr>
        <w:tabs>
          <w:tab w:val="left" w:pos="1713"/>
        </w:tabs>
        <w:spacing w:before="60" w:after="60"/>
      </w:pPr>
      <w:r w:rsidRPr="00950C1E">
        <w:t>Lambda-cyhalothrin WHO specification 463/CS proposal (Word format)</w:t>
      </w:r>
    </w:p>
    <w:p w:rsidR="00AF5A61" w:rsidRPr="003B4361" w:rsidRDefault="00AF5A61" w:rsidP="00AF5A61">
      <w:pPr>
        <w:tabs>
          <w:tab w:val="left" w:pos="1713"/>
        </w:tabs>
        <w:spacing w:before="60" w:after="60"/>
      </w:pPr>
      <w:r w:rsidRPr="008365E2">
        <w:t xml:space="preserve">Release rate </w:t>
      </w:r>
      <w:r w:rsidRPr="003B4361">
        <w:t>reports as noted below (in pdf format)</w:t>
      </w:r>
    </w:p>
    <w:p w:rsidR="00AF5A61" w:rsidRPr="003B4361" w:rsidRDefault="00AF5A61" w:rsidP="00AF5A61">
      <w:pPr>
        <w:tabs>
          <w:tab w:val="left" w:pos="1713"/>
        </w:tabs>
        <w:spacing w:before="60" w:after="60"/>
      </w:pPr>
      <w:r w:rsidRPr="003B4361">
        <w:t>Biological efficacy reports as noted below (in pdf format)</w:t>
      </w:r>
    </w:p>
    <w:p w:rsidR="00AF5A61" w:rsidRPr="00051B2D" w:rsidRDefault="00AF5A61" w:rsidP="00AF5A61">
      <w:pPr>
        <w:tabs>
          <w:tab w:val="left" w:pos="1713"/>
        </w:tabs>
        <w:rPr>
          <w:highlight w:val="yellow"/>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1889"/>
        <w:gridCol w:w="1251"/>
        <w:gridCol w:w="709"/>
        <w:gridCol w:w="5262"/>
      </w:tblGrid>
      <w:tr w:rsidR="00AF5A61" w:rsidRPr="00051B2D" w:rsidTr="00ED1F89">
        <w:trPr>
          <w:cantSplit/>
        </w:trPr>
        <w:tc>
          <w:tcPr>
            <w:tcW w:w="1889" w:type="dxa"/>
          </w:tcPr>
          <w:p w:rsidR="00AF5A61" w:rsidRPr="008365E2" w:rsidRDefault="00AF5A61" w:rsidP="00ED1F89">
            <w:pPr>
              <w:tabs>
                <w:tab w:val="left" w:pos="1713"/>
              </w:tabs>
              <w:spacing w:before="40" w:after="40"/>
              <w:rPr>
                <w:b/>
                <w:lang w:val="en-AU"/>
              </w:rPr>
            </w:pPr>
            <w:r w:rsidRPr="008365E2">
              <w:rPr>
                <w:b/>
                <w:lang w:val="en-AU"/>
              </w:rPr>
              <w:t xml:space="preserve">Report number </w:t>
            </w:r>
          </w:p>
        </w:tc>
        <w:tc>
          <w:tcPr>
            <w:tcW w:w="1251" w:type="dxa"/>
          </w:tcPr>
          <w:p w:rsidR="00AF5A61" w:rsidRPr="008365E2" w:rsidRDefault="00AF5A61" w:rsidP="00ED1F89">
            <w:pPr>
              <w:tabs>
                <w:tab w:val="left" w:pos="1713"/>
              </w:tabs>
              <w:spacing w:before="40" w:after="40"/>
              <w:rPr>
                <w:b/>
                <w:lang w:val="en-AU"/>
              </w:rPr>
            </w:pPr>
            <w:r w:rsidRPr="008365E2">
              <w:rPr>
                <w:b/>
                <w:lang w:val="en-AU"/>
              </w:rPr>
              <w:t>Author(s)</w:t>
            </w:r>
          </w:p>
        </w:tc>
        <w:tc>
          <w:tcPr>
            <w:tcW w:w="709" w:type="dxa"/>
          </w:tcPr>
          <w:p w:rsidR="00AF5A61" w:rsidRPr="008365E2" w:rsidRDefault="00AF5A61" w:rsidP="00ED1F89">
            <w:pPr>
              <w:tabs>
                <w:tab w:val="left" w:pos="1713"/>
              </w:tabs>
              <w:spacing w:before="40" w:after="40"/>
              <w:rPr>
                <w:b/>
                <w:lang w:val="en-AU"/>
              </w:rPr>
            </w:pPr>
            <w:r w:rsidRPr="008365E2">
              <w:rPr>
                <w:b/>
                <w:lang w:val="en-AU"/>
              </w:rPr>
              <w:t>year</w:t>
            </w:r>
          </w:p>
        </w:tc>
        <w:tc>
          <w:tcPr>
            <w:tcW w:w="5262" w:type="dxa"/>
          </w:tcPr>
          <w:p w:rsidR="00AF5A61" w:rsidRPr="008365E2" w:rsidRDefault="00AF5A61" w:rsidP="00ED1F89">
            <w:pPr>
              <w:tabs>
                <w:tab w:val="left" w:pos="1713"/>
              </w:tabs>
              <w:spacing w:before="40" w:after="40"/>
              <w:rPr>
                <w:b/>
                <w:lang w:val="en-AU"/>
              </w:rPr>
            </w:pPr>
            <w:r w:rsidRPr="008365E2">
              <w:rPr>
                <w:b/>
                <w:lang w:val="en-AU"/>
              </w:rPr>
              <w:t xml:space="preserve">Report title. Report identification number. Report identification number. GLP [if GLP]. Company conducting the study. </w:t>
            </w:r>
          </w:p>
        </w:tc>
      </w:tr>
      <w:tr w:rsidR="00AF5A61" w:rsidRPr="00051B2D" w:rsidTr="00ED1F89">
        <w:trPr>
          <w:cantSplit/>
        </w:trPr>
        <w:tc>
          <w:tcPr>
            <w:tcW w:w="9111" w:type="dxa"/>
            <w:gridSpan w:val="4"/>
          </w:tcPr>
          <w:p w:rsidR="00AF5A61" w:rsidRPr="00051B2D" w:rsidRDefault="00AF5A61" w:rsidP="00ED1F89">
            <w:pPr>
              <w:tabs>
                <w:tab w:val="left" w:pos="1713"/>
              </w:tabs>
              <w:spacing w:before="40" w:after="40"/>
              <w:rPr>
                <w:highlight w:val="yellow"/>
                <w:lang w:val="en-AU"/>
              </w:rPr>
            </w:pPr>
            <w:r w:rsidRPr="00A44559">
              <w:rPr>
                <w:b/>
                <w:lang w:val="en-GB"/>
              </w:rPr>
              <w:t xml:space="preserve">CONFIDENTIAL DATA: Biological Efficacy Reports </w:t>
            </w:r>
          </w:p>
        </w:tc>
      </w:tr>
      <w:tr w:rsidR="00AF5A61" w:rsidRPr="00051B2D" w:rsidTr="00ED1F89">
        <w:trPr>
          <w:cantSplit/>
        </w:trPr>
        <w:tc>
          <w:tcPr>
            <w:tcW w:w="1889" w:type="dxa"/>
          </w:tcPr>
          <w:p w:rsidR="00AF5A61" w:rsidRPr="00421BA8" w:rsidRDefault="00AF5A61" w:rsidP="00ED1F89">
            <w:pPr>
              <w:pStyle w:val="FAOreferences"/>
              <w:spacing w:before="40"/>
              <w:rPr>
                <w:lang w:val="en-GB"/>
              </w:rPr>
            </w:pPr>
            <w:r w:rsidRPr="00421BA8">
              <w:rPr>
                <w:lang w:val="en-GB"/>
              </w:rPr>
              <w:t>VV-716726</w:t>
            </w:r>
          </w:p>
          <w:p w:rsidR="00AF5A61" w:rsidRPr="00421BA8" w:rsidRDefault="00AF5A61" w:rsidP="00ED1F89">
            <w:pPr>
              <w:pStyle w:val="FAOreferences"/>
              <w:spacing w:before="40"/>
            </w:pPr>
          </w:p>
        </w:tc>
        <w:tc>
          <w:tcPr>
            <w:tcW w:w="1251" w:type="dxa"/>
          </w:tcPr>
          <w:p w:rsidR="00AF5A61" w:rsidRPr="00035CE1" w:rsidRDefault="00AF5A61" w:rsidP="00ED1F89">
            <w:pPr>
              <w:pStyle w:val="FAOreferences"/>
              <w:spacing w:before="40"/>
            </w:pPr>
            <w:r>
              <w:t>Hoppe M., Hofer D.,</w:t>
            </w:r>
            <w:r w:rsidRPr="00035CE1">
              <w:t xml:space="preserve"> Spycher C.</w:t>
            </w:r>
          </w:p>
        </w:tc>
        <w:tc>
          <w:tcPr>
            <w:tcW w:w="709" w:type="dxa"/>
          </w:tcPr>
          <w:p w:rsidR="00AF5A61" w:rsidRPr="00035CE1" w:rsidRDefault="00AF5A61" w:rsidP="00ED1F89">
            <w:pPr>
              <w:pStyle w:val="FAOreferences"/>
              <w:spacing w:before="40"/>
            </w:pPr>
            <w:r w:rsidRPr="00035CE1">
              <w:t>2019</w:t>
            </w:r>
          </w:p>
        </w:tc>
        <w:tc>
          <w:tcPr>
            <w:tcW w:w="5262" w:type="dxa"/>
          </w:tcPr>
          <w:p w:rsidR="00AF5A61" w:rsidRPr="00035CE1" w:rsidRDefault="00AF5A61" w:rsidP="00ED1F89">
            <w:pPr>
              <w:pStyle w:val="FAOreferences"/>
              <w:spacing w:before="40"/>
              <w:rPr>
                <w:lang w:val="en-US"/>
              </w:rPr>
            </w:pPr>
            <w:r w:rsidRPr="00035CE1">
              <w:rPr>
                <w:lang w:val="en-US"/>
              </w:rPr>
              <w:t>Evaluation of the Residual Insecticidal Performance of Five ICON 10CS Batches, Report No.PPMG18309, Unpublished</w:t>
            </w:r>
            <w:r>
              <w:rPr>
                <w:lang w:val="en-US"/>
              </w:rPr>
              <w:t>,</w:t>
            </w:r>
            <w:r w:rsidRPr="00035CE1">
              <w:rPr>
                <w:lang w:val="en-US"/>
              </w:rPr>
              <w:t xml:space="preserve"> Non-GLP, Syngenta Crop Protection, Stein, Switzerland </w:t>
            </w:r>
          </w:p>
        </w:tc>
      </w:tr>
      <w:tr w:rsidR="00AF5A61" w:rsidRPr="00051B2D" w:rsidTr="00ED1F89">
        <w:trPr>
          <w:cantSplit/>
        </w:trPr>
        <w:tc>
          <w:tcPr>
            <w:tcW w:w="1889" w:type="dxa"/>
          </w:tcPr>
          <w:p w:rsidR="00AF5A61" w:rsidRPr="00421BA8" w:rsidRDefault="00AF5A61" w:rsidP="00ED1F89">
            <w:pPr>
              <w:pStyle w:val="FAOreferences"/>
              <w:spacing w:before="40"/>
              <w:rPr>
                <w:lang w:val="en-GB"/>
              </w:rPr>
            </w:pPr>
            <w:r w:rsidRPr="00421BA8">
              <w:rPr>
                <w:lang w:val="en-GB"/>
              </w:rPr>
              <w:t>VV-716724</w:t>
            </w:r>
          </w:p>
          <w:p w:rsidR="00AF5A61" w:rsidRPr="00421BA8" w:rsidRDefault="00AF5A61" w:rsidP="00ED1F89">
            <w:pPr>
              <w:pStyle w:val="FAOreferences"/>
              <w:spacing w:before="40"/>
            </w:pPr>
          </w:p>
        </w:tc>
        <w:tc>
          <w:tcPr>
            <w:tcW w:w="1251" w:type="dxa"/>
          </w:tcPr>
          <w:p w:rsidR="00AF5A61" w:rsidRPr="00035CE1" w:rsidRDefault="00AF5A61" w:rsidP="00ED1F89">
            <w:pPr>
              <w:pStyle w:val="FAOreferences"/>
              <w:spacing w:before="40"/>
            </w:pPr>
            <w:r>
              <w:t>Hoppe M., Hofer D.,</w:t>
            </w:r>
            <w:r w:rsidRPr="00035CE1">
              <w:t xml:space="preserve"> Spycher C.</w:t>
            </w:r>
          </w:p>
        </w:tc>
        <w:tc>
          <w:tcPr>
            <w:tcW w:w="709" w:type="dxa"/>
          </w:tcPr>
          <w:p w:rsidR="00AF5A61" w:rsidRPr="00035CE1" w:rsidRDefault="00AF5A61" w:rsidP="00ED1F89">
            <w:pPr>
              <w:pStyle w:val="FAOreferences"/>
              <w:spacing w:before="40"/>
            </w:pPr>
            <w:r w:rsidRPr="00035CE1">
              <w:t>201</w:t>
            </w:r>
            <w:r>
              <w:t>8</w:t>
            </w:r>
          </w:p>
        </w:tc>
        <w:tc>
          <w:tcPr>
            <w:tcW w:w="5262" w:type="dxa"/>
          </w:tcPr>
          <w:p w:rsidR="00AF5A61" w:rsidRPr="00035CE1" w:rsidRDefault="00AF5A61" w:rsidP="00ED1F89">
            <w:pPr>
              <w:pStyle w:val="FAOreferences"/>
              <w:spacing w:before="40"/>
              <w:rPr>
                <w:lang w:val="en-US"/>
              </w:rPr>
            </w:pPr>
            <w:r w:rsidRPr="00035CE1">
              <w:rPr>
                <w:lang w:val="en-US"/>
              </w:rPr>
              <w:t>E</w:t>
            </w:r>
            <w:r>
              <w:rPr>
                <w:lang w:val="en-US"/>
              </w:rPr>
              <w:t xml:space="preserve">valuation of the </w:t>
            </w:r>
            <w:r w:rsidRPr="00035CE1">
              <w:rPr>
                <w:lang w:val="en-US"/>
              </w:rPr>
              <w:t>Insecticidal Performance of Five ICON 10CS Batches, Report No.</w:t>
            </w:r>
            <w:r>
              <w:t xml:space="preserve"> </w:t>
            </w:r>
            <w:r w:rsidRPr="00A44559">
              <w:rPr>
                <w:lang w:val="en-US"/>
              </w:rPr>
              <w:t>PH WST 18/013</w:t>
            </w:r>
            <w:r w:rsidRPr="00035CE1">
              <w:rPr>
                <w:lang w:val="en-US"/>
              </w:rPr>
              <w:t xml:space="preserve">, Unpublished Non-GLP, Syngenta Crop Protection, Stein, Switzerland </w:t>
            </w:r>
          </w:p>
        </w:tc>
      </w:tr>
      <w:tr w:rsidR="00AF5A61" w:rsidRPr="00051B2D" w:rsidTr="00ED1F89">
        <w:trPr>
          <w:cantSplit/>
        </w:trPr>
        <w:tc>
          <w:tcPr>
            <w:tcW w:w="9111" w:type="dxa"/>
            <w:gridSpan w:val="4"/>
          </w:tcPr>
          <w:p w:rsidR="00AF5A61" w:rsidRPr="00051B2D" w:rsidRDefault="00AF5A61" w:rsidP="00ED1F89">
            <w:pPr>
              <w:tabs>
                <w:tab w:val="left" w:pos="1713"/>
              </w:tabs>
              <w:spacing w:before="40" w:after="40"/>
              <w:rPr>
                <w:highlight w:val="yellow"/>
                <w:lang w:val="en-AU"/>
              </w:rPr>
            </w:pPr>
            <w:r w:rsidRPr="00A44559">
              <w:rPr>
                <w:b/>
                <w:lang w:val="en-GB"/>
              </w:rPr>
              <w:t xml:space="preserve">NON-CONFIDENTIAL DATA: </w:t>
            </w:r>
            <w:r w:rsidRPr="00A44559">
              <w:rPr>
                <w:b/>
                <w:lang w:val="en-AU"/>
              </w:rPr>
              <w:t>Release Rate Reports</w:t>
            </w:r>
          </w:p>
        </w:tc>
      </w:tr>
      <w:tr w:rsidR="00AF5A61" w:rsidRPr="00051B2D" w:rsidTr="00ED1F89">
        <w:trPr>
          <w:cantSplit/>
        </w:trPr>
        <w:tc>
          <w:tcPr>
            <w:tcW w:w="1889" w:type="dxa"/>
          </w:tcPr>
          <w:p w:rsidR="00AF5A61" w:rsidRDefault="00AF5A61" w:rsidP="00ED1F89">
            <w:pPr>
              <w:spacing w:before="40" w:after="40"/>
            </w:pPr>
            <w:r w:rsidRPr="006B63FC">
              <w:t>VV-716674</w:t>
            </w:r>
          </w:p>
        </w:tc>
        <w:tc>
          <w:tcPr>
            <w:tcW w:w="1251" w:type="dxa"/>
          </w:tcPr>
          <w:p w:rsidR="00AF5A61" w:rsidRPr="00A44559" w:rsidRDefault="00AF5A61" w:rsidP="00ED1F89">
            <w:pPr>
              <w:tabs>
                <w:tab w:val="left" w:pos="1713"/>
              </w:tabs>
              <w:spacing w:before="40" w:after="40"/>
              <w:rPr>
                <w:lang w:val="en-AU"/>
              </w:rPr>
            </w:pPr>
            <w:r w:rsidRPr="00A44559">
              <w:rPr>
                <w:lang w:val="en-AU"/>
              </w:rPr>
              <w:t>Baes M.</w:t>
            </w:r>
          </w:p>
        </w:tc>
        <w:tc>
          <w:tcPr>
            <w:tcW w:w="709" w:type="dxa"/>
          </w:tcPr>
          <w:p w:rsidR="00AF5A61" w:rsidRPr="00A44559" w:rsidRDefault="00AF5A61" w:rsidP="00ED1F89">
            <w:pPr>
              <w:tabs>
                <w:tab w:val="left" w:pos="1713"/>
              </w:tabs>
              <w:spacing w:before="40" w:after="40"/>
              <w:rPr>
                <w:lang w:val="en-AU"/>
              </w:rPr>
            </w:pPr>
            <w:r w:rsidRPr="00A44559">
              <w:rPr>
                <w:lang w:val="en-AU"/>
              </w:rPr>
              <w:t>2019</w:t>
            </w:r>
          </w:p>
        </w:tc>
        <w:tc>
          <w:tcPr>
            <w:tcW w:w="5262" w:type="dxa"/>
          </w:tcPr>
          <w:p w:rsidR="00AF5A61" w:rsidRPr="00A44559" w:rsidRDefault="00AF5A61" w:rsidP="00ED1F89">
            <w:pPr>
              <w:tabs>
                <w:tab w:val="left" w:pos="1713"/>
              </w:tabs>
              <w:spacing w:before="40" w:after="40"/>
              <w:rPr>
                <w:lang w:val="en-AU"/>
              </w:rPr>
            </w:pPr>
            <w:r w:rsidRPr="00A44559">
              <w:rPr>
                <w:lang w:val="en-AU"/>
              </w:rPr>
              <w:t>Certificate of Analysis, Report No. 24861/Ch.7130/2019/A 25.04.2019. Unpublished</w:t>
            </w:r>
            <w:r>
              <w:rPr>
                <w:lang w:val="en-AU"/>
              </w:rPr>
              <w:t>,</w:t>
            </w:r>
            <w:r w:rsidRPr="00A44559">
              <w:rPr>
                <w:lang w:val="en-AU"/>
              </w:rPr>
              <w:t xml:space="preserve"> Non-GLP, Walloon Agricultural Research Centre (CRA-W), Gembloux, Belgium</w:t>
            </w:r>
          </w:p>
        </w:tc>
      </w:tr>
      <w:tr w:rsidR="00AF5A61" w:rsidRPr="00051B2D" w:rsidTr="00ED1F89">
        <w:trPr>
          <w:cantSplit/>
        </w:trPr>
        <w:tc>
          <w:tcPr>
            <w:tcW w:w="1889" w:type="dxa"/>
          </w:tcPr>
          <w:p w:rsidR="00AF5A61" w:rsidRPr="006B63FC" w:rsidRDefault="00AF5A61" w:rsidP="00ED1F89">
            <w:pPr>
              <w:spacing w:before="40" w:after="40"/>
            </w:pPr>
            <w:r w:rsidRPr="006B63FC">
              <w:t>VV-716675</w:t>
            </w:r>
          </w:p>
        </w:tc>
        <w:tc>
          <w:tcPr>
            <w:tcW w:w="1251" w:type="dxa"/>
          </w:tcPr>
          <w:p w:rsidR="00AF5A61" w:rsidRPr="00B44DC2" w:rsidRDefault="00AF5A61" w:rsidP="00ED1F89">
            <w:pPr>
              <w:tabs>
                <w:tab w:val="left" w:pos="1713"/>
              </w:tabs>
              <w:spacing w:before="40" w:after="40"/>
              <w:rPr>
                <w:lang w:val="en-AU"/>
              </w:rPr>
            </w:pPr>
            <w:r w:rsidRPr="00B44DC2">
              <w:rPr>
                <w:lang w:val="en-AU"/>
              </w:rPr>
              <w:t>Jutsum P.</w:t>
            </w:r>
          </w:p>
        </w:tc>
        <w:tc>
          <w:tcPr>
            <w:tcW w:w="709" w:type="dxa"/>
          </w:tcPr>
          <w:p w:rsidR="00AF5A61" w:rsidRPr="00B44DC2" w:rsidRDefault="00AF5A61" w:rsidP="00ED1F89">
            <w:pPr>
              <w:tabs>
                <w:tab w:val="left" w:pos="1713"/>
              </w:tabs>
              <w:spacing w:before="40" w:after="40"/>
              <w:rPr>
                <w:lang w:val="en-AU"/>
              </w:rPr>
            </w:pPr>
            <w:r w:rsidRPr="00B44DC2">
              <w:rPr>
                <w:lang w:val="en-AU"/>
              </w:rPr>
              <w:t>2019</w:t>
            </w:r>
          </w:p>
        </w:tc>
        <w:tc>
          <w:tcPr>
            <w:tcW w:w="5262" w:type="dxa"/>
          </w:tcPr>
          <w:p w:rsidR="00AF5A61" w:rsidRPr="00B44DC2" w:rsidRDefault="00AF5A61" w:rsidP="00ED1F89">
            <w:pPr>
              <w:tabs>
                <w:tab w:val="left" w:pos="1713"/>
              </w:tabs>
              <w:spacing w:before="40" w:after="40"/>
              <w:rPr>
                <w:lang w:val="en-AU"/>
              </w:rPr>
            </w:pPr>
            <w:r w:rsidRPr="00B44DC2">
              <w:rPr>
                <w:lang w:val="en-AU"/>
              </w:rPr>
              <w:t>A12690P Chemical Analysis of 10 Lambda-cyhalothrin CS Formulations, Report No. CEMS-8958, 18.03.2019, Unpublished, Non-GLP, CEM Analytical Services Ltd (CEMAS), Wokingham, UK</w:t>
            </w:r>
          </w:p>
        </w:tc>
      </w:tr>
      <w:tr w:rsidR="00AF5A61" w:rsidRPr="00051B2D" w:rsidTr="00ED1F89">
        <w:trPr>
          <w:cantSplit/>
        </w:trPr>
        <w:tc>
          <w:tcPr>
            <w:tcW w:w="1889" w:type="dxa"/>
          </w:tcPr>
          <w:p w:rsidR="00AF5A61" w:rsidRPr="006B63FC" w:rsidRDefault="00AF5A61" w:rsidP="00ED1F89">
            <w:pPr>
              <w:spacing w:before="40" w:after="40"/>
            </w:pPr>
            <w:r w:rsidRPr="006B63FC">
              <w:t>VV-716671</w:t>
            </w:r>
          </w:p>
        </w:tc>
        <w:tc>
          <w:tcPr>
            <w:tcW w:w="1251" w:type="dxa"/>
          </w:tcPr>
          <w:p w:rsidR="00AF5A61" w:rsidRPr="00E406F2" w:rsidRDefault="00AF5A61" w:rsidP="00ED1F89">
            <w:pPr>
              <w:tabs>
                <w:tab w:val="left" w:pos="1713"/>
              </w:tabs>
              <w:spacing w:before="40" w:after="40"/>
              <w:rPr>
                <w:lang w:val="en-AU"/>
              </w:rPr>
            </w:pPr>
            <w:r w:rsidRPr="00E406F2">
              <w:rPr>
                <w:lang w:val="en-AU"/>
              </w:rPr>
              <w:t>Simonin C.</w:t>
            </w:r>
          </w:p>
        </w:tc>
        <w:tc>
          <w:tcPr>
            <w:tcW w:w="709" w:type="dxa"/>
          </w:tcPr>
          <w:p w:rsidR="00AF5A61" w:rsidRPr="00E406F2" w:rsidRDefault="00AF5A61" w:rsidP="00ED1F89">
            <w:pPr>
              <w:tabs>
                <w:tab w:val="left" w:pos="1713"/>
              </w:tabs>
              <w:spacing w:before="40" w:after="40"/>
              <w:rPr>
                <w:lang w:val="en-AU"/>
              </w:rPr>
            </w:pPr>
            <w:r w:rsidRPr="00E406F2">
              <w:rPr>
                <w:lang w:val="en-AU"/>
              </w:rPr>
              <w:t>2019a</w:t>
            </w:r>
          </w:p>
        </w:tc>
        <w:tc>
          <w:tcPr>
            <w:tcW w:w="5262" w:type="dxa"/>
          </w:tcPr>
          <w:p w:rsidR="00AF5A61" w:rsidRPr="00051B2D" w:rsidRDefault="00AF5A61" w:rsidP="00ED1F89">
            <w:pPr>
              <w:tabs>
                <w:tab w:val="left" w:pos="1713"/>
              </w:tabs>
              <w:spacing w:before="40" w:after="40"/>
              <w:rPr>
                <w:highlight w:val="yellow"/>
                <w:lang w:val="en-AU"/>
              </w:rPr>
            </w:pPr>
            <w:r w:rsidRPr="008D2455">
              <w:rPr>
                <w:lang w:val="en-AU"/>
              </w:rPr>
              <w:t>A12690P – Analysis of Ten Representative Formulation Batches Produced at Syngenta Chemicals B.V., Belgium</w:t>
            </w:r>
            <w:r>
              <w:rPr>
                <w:lang w:val="en-AU"/>
              </w:rPr>
              <w:t>, 30.10</w:t>
            </w:r>
            <w:r w:rsidRPr="008A56FB">
              <w:rPr>
                <w:lang w:val="en-AU"/>
              </w:rPr>
              <w:t>.2019</w:t>
            </w:r>
            <w:r>
              <w:rPr>
                <w:lang w:val="en-AU"/>
              </w:rPr>
              <w:t xml:space="preserve">, </w:t>
            </w:r>
            <w:r w:rsidRPr="008D2455">
              <w:rPr>
                <w:lang w:val="en-AU"/>
              </w:rPr>
              <w:t>Unpublished, Non-GLP, QC Laboratory - Syngenta Chemicals B.V. Rue de Tyberchamps, 37 B-7180 Seneffe Belgium</w:t>
            </w:r>
          </w:p>
        </w:tc>
      </w:tr>
      <w:tr w:rsidR="00AF5A61" w:rsidRPr="00051B2D" w:rsidTr="00ED1F89">
        <w:trPr>
          <w:cantSplit/>
        </w:trPr>
        <w:tc>
          <w:tcPr>
            <w:tcW w:w="1889" w:type="dxa"/>
          </w:tcPr>
          <w:p w:rsidR="00AF5A61" w:rsidRPr="006B63FC" w:rsidRDefault="00AF5A61" w:rsidP="00ED1F89">
            <w:pPr>
              <w:spacing w:before="40" w:after="40"/>
            </w:pPr>
            <w:r w:rsidRPr="006B63FC">
              <w:t>VV-716669</w:t>
            </w:r>
          </w:p>
        </w:tc>
        <w:tc>
          <w:tcPr>
            <w:tcW w:w="1251" w:type="dxa"/>
          </w:tcPr>
          <w:p w:rsidR="00AF5A61" w:rsidRPr="00E406F2" w:rsidRDefault="00AF5A61" w:rsidP="00ED1F89">
            <w:pPr>
              <w:tabs>
                <w:tab w:val="left" w:pos="1713"/>
              </w:tabs>
              <w:spacing w:before="40" w:after="40"/>
              <w:rPr>
                <w:lang w:val="en-AU"/>
              </w:rPr>
            </w:pPr>
            <w:r w:rsidRPr="00E406F2">
              <w:rPr>
                <w:lang w:val="en-AU"/>
              </w:rPr>
              <w:t>Simonin C.</w:t>
            </w:r>
          </w:p>
        </w:tc>
        <w:tc>
          <w:tcPr>
            <w:tcW w:w="709" w:type="dxa"/>
          </w:tcPr>
          <w:p w:rsidR="00AF5A61" w:rsidRPr="00E406F2" w:rsidRDefault="00AF5A61" w:rsidP="00ED1F89">
            <w:pPr>
              <w:tabs>
                <w:tab w:val="left" w:pos="1713"/>
              </w:tabs>
              <w:spacing w:before="40" w:after="40"/>
              <w:rPr>
                <w:lang w:val="en-AU"/>
              </w:rPr>
            </w:pPr>
            <w:r w:rsidRPr="00E406F2">
              <w:rPr>
                <w:lang w:val="en-AU"/>
              </w:rPr>
              <w:t>2019b</w:t>
            </w:r>
          </w:p>
        </w:tc>
        <w:tc>
          <w:tcPr>
            <w:tcW w:w="5262" w:type="dxa"/>
          </w:tcPr>
          <w:p w:rsidR="00AF5A61" w:rsidRPr="00051B2D" w:rsidRDefault="00AF5A61" w:rsidP="00ED1F89">
            <w:pPr>
              <w:tabs>
                <w:tab w:val="left" w:pos="1713"/>
              </w:tabs>
              <w:spacing w:before="40" w:after="40"/>
              <w:rPr>
                <w:highlight w:val="yellow"/>
                <w:lang w:val="en-AU"/>
              </w:rPr>
            </w:pPr>
            <w:r w:rsidRPr="00F37DC2">
              <w:rPr>
                <w:lang w:val="en-AU"/>
              </w:rPr>
              <w:t>A12690P – Analysis of Ten Representative Formulation Batches Produced at Syngenta Chemicals B.V., Belgium</w:t>
            </w:r>
            <w:r>
              <w:rPr>
                <w:lang w:val="en-AU"/>
              </w:rPr>
              <w:t>,</w:t>
            </w:r>
            <w:r w:rsidRPr="008A56FB">
              <w:rPr>
                <w:lang w:val="en-AU"/>
              </w:rPr>
              <w:t xml:space="preserve"> 30.10.2019, </w:t>
            </w:r>
            <w:r w:rsidRPr="00F37DC2">
              <w:rPr>
                <w:lang w:val="en-AU"/>
              </w:rPr>
              <w:t>Unpublished, Non-GLP,</w:t>
            </w:r>
            <w:r>
              <w:t xml:space="preserve"> </w:t>
            </w:r>
            <w:r w:rsidRPr="00F37DC2">
              <w:rPr>
                <w:lang w:val="en-AU"/>
              </w:rPr>
              <w:t>Analytical Development &amp; Product Chemistry Breitenloh 5 4333 Münchwilen, Switzerland</w:t>
            </w:r>
          </w:p>
        </w:tc>
      </w:tr>
    </w:tbl>
    <w:p w:rsidR="00AF5A61" w:rsidRDefault="00AF5A61" w:rsidP="00AF5A61">
      <w:pPr>
        <w:tabs>
          <w:tab w:val="left" w:pos="1713"/>
        </w:tabs>
      </w:pPr>
    </w:p>
    <w:p w:rsidR="0069361E" w:rsidRDefault="0069361E">
      <w:pPr>
        <w:spacing w:line="240" w:lineRule="auto"/>
      </w:pPr>
      <w:r>
        <w:br w:type="page"/>
      </w:r>
    </w:p>
    <w:p w:rsidR="0069361E" w:rsidRPr="000952E2" w:rsidRDefault="0069361E" w:rsidP="0069361E">
      <w:pPr>
        <w:pStyle w:val="SGAText"/>
        <w:spacing w:after="120" w:line="240" w:lineRule="auto"/>
        <w:jc w:val="both"/>
        <w:rPr>
          <w:b/>
        </w:rPr>
      </w:pPr>
      <w:r w:rsidRPr="000952E2">
        <w:rPr>
          <w:b/>
        </w:rPr>
        <w:lastRenderedPageBreak/>
        <w:t xml:space="preserve">Technical Letter - </w:t>
      </w:r>
      <w:proofErr w:type="gramStart"/>
      <w:r w:rsidRPr="000952E2">
        <w:rPr>
          <w:b/>
        </w:rPr>
        <w:t>WHO</w:t>
      </w:r>
      <w:proofErr w:type="gramEnd"/>
      <w:r w:rsidRPr="000952E2">
        <w:rPr>
          <w:b/>
        </w:rPr>
        <w:t xml:space="preserve"> Specification 463/CS</w:t>
      </w:r>
    </w:p>
    <w:p w:rsidR="0069361E" w:rsidRPr="00895230" w:rsidRDefault="0069361E" w:rsidP="0069361E">
      <w:pPr>
        <w:pStyle w:val="SGAText"/>
        <w:spacing w:after="120" w:line="240" w:lineRule="auto"/>
        <w:jc w:val="both"/>
        <w:rPr>
          <w:b/>
        </w:rPr>
      </w:pPr>
      <w:r w:rsidRPr="00895230">
        <w:rPr>
          <w:b/>
        </w:rPr>
        <w:t>Introduction</w:t>
      </w:r>
    </w:p>
    <w:p w:rsidR="0069361E" w:rsidRDefault="0069361E" w:rsidP="0069361E">
      <w:pPr>
        <w:pStyle w:val="SGAText"/>
        <w:spacing w:after="120" w:line="240" w:lineRule="auto"/>
        <w:jc w:val="both"/>
      </w:pPr>
      <w:r>
        <w:t>Since development of the lambda-cyhalothrin slow-release capsule suspension specification (WHO 463/CS) in 2003 there has been no systematic review of the specification clauses or routine quality control (QC) data that support those clauses.</w:t>
      </w:r>
    </w:p>
    <w:p w:rsidR="0069361E" w:rsidRDefault="0069361E" w:rsidP="0069361E">
      <w:pPr>
        <w:pStyle w:val="SGAText"/>
        <w:spacing w:after="120" w:line="240" w:lineRule="auto"/>
        <w:jc w:val="both"/>
        <w:rPr>
          <w:lang w:val="en-GB"/>
        </w:rPr>
      </w:pPr>
      <w:r>
        <w:t xml:space="preserve">Specifically, in relation </w:t>
      </w:r>
      <w:r w:rsidRPr="005517BA">
        <w:rPr>
          <w:lang w:val="en-GB"/>
        </w:rPr>
        <w:t>to the release-rate clause</w:t>
      </w:r>
      <w:r>
        <w:rPr>
          <w:lang w:val="en-GB"/>
        </w:rPr>
        <w:t xml:space="preserve"> </w:t>
      </w:r>
      <w:r w:rsidRPr="00EC1675">
        <w:rPr>
          <w:lang w:val="en-GB"/>
        </w:rPr>
        <w:t>-</w:t>
      </w:r>
      <w:r w:rsidRPr="005517BA">
        <w:rPr>
          <w:lang w:val="en-GB"/>
        </w:rPr>
        <w:t xml:space="preserve"> </w:t>
      </w:r>
      <w:r>
        <w:rPr>
          <w:b/>
          <w:i/>
          <w:lang w:val="en-GB"/>
        </w:rPr>
        <w:t xml:space="preserve">2.4 </w:t>
      </w:r>
      <w:r w:rsidRPr="00643211">
        <w:rPr>
          <w:b/>
          <w:i/>
          <w:lang w:val="en-GB"/>
        </w:rPr>
        <w:t>Release of lambda-cyhalothrin</w:t>
      </w:r>
      <w:r w:rsidRPr="005517BA">
        <w:rPr>
          <w:lang w:val="en-GB"/>
        </w:rPr>
        <w:t xml:space="preserve"> </w:t>
      </w:r>
      <w:r>
        <w:rPr>
          <w:lang w:val="en-GB"/>
        </w:rPr>
        <w:t>- the limits within the specification clause</w:t>
      </w:r>
      <w:r w:rsidRPr="00EC1675">
        <w:rPr>
          <w:sz w:val="20"/>
          <w:szCs w:val="20"/>
        </w:rPr>
        <w:t xml:space="preserve"> </w:t>
      </w:r>
      <w:r w:rsidRPr="00EC1675">
        <w:rPr>
          <w:lang w:val="en-GB"/>
        </w:rPr>
        <w:t>are restrictive, difficult to achieve, don’t correlate well with biological activity and are time consuming</w:t>
      </w:r>
      <w:r>
        <w:rPr>
          <w:lang w:val="en-GB"/>
        </w:rPr>
        <w:t xml:space="preserve">. </w:t>
      </w:r>
    </w:p>
    <w:p w:rsidR="0069361E" w:rsidRPr="00DF4680" w:rsidRDefault="0069361E" w:rsidP="0069361E">
      <w:pPr>
        <w:pStyle w:val="SGAText"/>
        <w:spacing w:after="120" w:line="240" w:lineRule="auto"/>
        <w:jc w:val="both"/>
      </w:pPr>
      <w:r>
        <w:rPr>
          <w:lang w:val="en-GB"/>
        </w:rPr>
        <w:t xml:space="preserve">Therefore, following </w:t>
      </w:r>
      <w:r w:rsidRPr="005517BA">
        <w:rPr>
          <w:lang w:val="en-GB"/>
        </w:rPr>
        <w:t>a stewardship exercise involving</w:t>
      </w:r>
      <w:r>
        <w:rPr>
          <w:lang w:val="en-GB"/>
        </w:rPr>
        <w:t xml:space="preserve"> a review of:</w:t>
      </w:r>
    </w:p>
    <w:p w:rsidR="0069361E" w:rsidRPr="005517BA" w:rsidRDefault="0069361E" w:rsidP="0069361E">
      <w:pPr>
        <w:pStyle w:val="SGAText"/>
        <w:numPr>
          <w:ilvl w:val="0"/>
          <w:numId w:val="1"/>
        </w:numPr>
        <w:spacing w:after="60" w:line="240" w:lineRule="auto"/>
        <w:jc w:val="both"/>
        <w:rPr>
          <w:lang w:val="en-GB"/>
        </w:rPr>
      </w:pPr>
      <w:r w:rsidRPr="005517BA">
        <w:rPr>
          <w:lang w:val="en-GB"/>
        </w:rPr>
        <w:t xml:space="preserve">existing release-rate </w:t>
      </w:r>
      <w:r>
        <w:rPr>
          <w:lang w:val="en-GB"/>
        </w:rPr>
        <w:t xml:space="preserve">and biological efficacy </w:t>
      </w:r>
      <w:r w:rsidRPr="005517BA">
        <w:rPr>
          <w:lang w:val="en-GB"/>
        </w:rPr>
        <w:t>data</w:t>
      </w:r>
    </w:p>
    <w:p w:rsidR="0069361E" w:rsidRPr="005517BA" w:rsidRDefault="0069361E" w:rsidP="0069361E">
      <w:pPr>
        <w:pStyle w:val="SGAText"/>
        <w:numPr>
          <w:ilvl w:val="0"/>
          <w:numId w:val="1"/>
        </w:numPr>
        <w:spacing w:after="60" w:line="240" w:lineRule="auto"/>
        <w:jc w:val="both"/>
        <w:rPr>
          <w:lang w:val="en-GB"/>
        </w:rPr>
      </w:pPr>
      <w:r w:rsidRPr="005517BA">
        <w:rPr>
          <w:lang w:val="en-GB"/>
        </w:rPr>
        <w:t>new release-rate data</w:t>
      </w:r>
      <w:r>
        <w:rPr>
          <w:lang w:val="en-GB"/>
        </w:rPr>
        <w:t xml:space="preserve"> (four laboratories)</w:t>
      </w:r>
    </w:p>
    <w:p w:rsidR="0069361E" w:rsidRPr="00B81FE9" w:rsidRDefault="0069361E" w:rsidP="0069361E">
      <w:pPr>
        <w:pStyle w:val="SGAText"/>
        <w:numPr>
          <w:ilvl w:val="0"/>
          <w:numId w:val="1"/>
        </w:numPr>
        <w:spacing w:after="120" w:line="240" w:lineRule="auto"/>
        <w:ind w:left="714" w:hanging="357"/>
        <w:jc w:val="both"/>
        <w:rPr>
          <w:lang w:val="en-GB"/>
        </w:rPr>
      </w:pPr>
      <w:r>
        <w:rPr>
          <w:lang w:val="en-GB"/>
        </w:rPr>
        <w:t xml:space="preserve">new </w:t>
      </w:r>
      <w:r w:rsidRPr="005517BA">
        <w:rPr>
          <w:lang w:val="en-GB"/>
        </w:rPr>
        <w:t>biological efficacy data</w:t>
      </w:r>
      <w:r>
        <w:rPr>
          <w:lang w:val="en-GB"/>
        </w:rPr>
        <w:t xml:space="preserve"> (laboratory knockdown and residual assays)</w:t>
      </w:r>
    </w:p>
    <w:p w:rsidR="0069361E" w:rsidRDefault="0069361E" w:rsidP="0069361E">
      <w:pPr>
        <w:pStyle w:val="SGAText"/>
        <w:spacing w:after="240" w:line="240" w:lineRule="auto"/>
        <w:jc w:val="both"/>
        <w:rPr>
          <w:lang w:val="en-GB"/>
        </w:rPr>
      </w:pPr>
      <w:r>
        <w:rPr>
          <w:lang w:val="en-GB"/>
        </w:rPr>
        <w:t xml:space="preserve">Syngenta will </w:t>
      </w:r>
      <w:r w:rsidRPr="005517BA">
        <w:rPr>
          <w:lang w:val="en-GB"/>
        </w:rPr>
        <w:t>propose a change</w:t>
      </w:r>
      <w:r>
        <w:rPr>
          <w:lang w:val="en-GB"/>
        </w:rPr>
        <w:t xml:space="preserve"> to the release rate clause 2.4 that it believes provides an adequate quality benchmark that can be assessed in a timely manner compared to the current limits in the specification clause.</w:t>
      </w:r>
    </w:p>
    <w:p w:rsidR="0069361E" w:rsidRPr="0069361E" w:rsidRDefault="0069361E" w:rsidP="0069361E">
      <w:pPr>
        <w:pStyle w:val="SGAText"/>
        <w:spacing w:after="240" w:line="240" w:lineRule="auto"/>
        <w:jc w:val="both"/>
        <w:rPr>
          <w:lang w:val="en-GB"/>
        </w:rPr>
      </w:pPr>
      <w:r>
        <w:rPr>
          <w:lang w:val="en-GB"/>
        </w:rPr>
        <w:t xml:space="preserve">Furthermore, during review of the noted data and definition of a proposal to update of the specification it has become clear that there is also a need to update </w:t>
      </w:r>
      <w:r w:rsidRPr="005517BA">
        <w:rPr>
          <w:lang w:val="en-GB"/>
        </w:rPr>
        <w:t>CIPAC method MT 190</w:t>
      </w:r>
      <w:r>
        <w:rPr>
          <w:lang w:val="en-GB"/>
        </w:rPr>
        <w:t xml:space="preserve"> (The Determination of Release Properties of Lambda-cyhalothrin CS Formulations). Discussions are currently underway with CIPAC to determine the way forward and it is expected that an updated MT method and supporting data will be presented at the 2020 CIPAC meeting.</w:t>
      </w:r>
    </w:p>
    <w:p w:rsidR="0069361E" w:rsidRPr="00E24514" w:rsidRDefault="0069361E" w:rsidP="0069361E">
      <w:pPr>
        <w:tabs>
          <w:tab w:val="left" w:pos="1713"/>
        </w:tabs>
        <w:spacing w:after="120"/>
        <w:rPr>
          <w:b/>
          <w:sz w:val="22"/>
          <w:szCs w:val="22"/>
        </w:rPr>
      </w:pPr>
      <w:r>
        <w:rPr>
          <w:b/>
          <w:sz w:val="22"/>
          <w:szCs w:val="22"/>
        </w:rPr>
        <w:t>Background - Existing Release-rate and Biological Efficacy D</w:t>
      </w:r>
      <w:r w:rsidRPr="00E24514">
        <w:rPr>
          <w:b/>
          <w:sz w:val="22"/>
          <w:szCs w:val="22"/>
        </w:rPr>
        <w:t>ata</w:t>
      </w:r>
      <w:r>
        <w:rPr>
          <w:b/>
          <w:sz w:val="22"/>
          <w:szCs w:val="22"/>
        </w:rPr>
        <w:t xml:space="preserve"> (2014)</w:t>
      </w:r>
    </w:p>
    <w:p w:rsidR="0069361E" w:rsidRDefault="0069361E" w:rsidP="0069361E">
      <w:pPr>
        <w:tabs>
          <w:tab w:val="left" w:pos="1713"/>
        </w:tabs>
        <w:spacing w:after="120"/>
        <w:jc w:val="both"/>
        <w:rPr>
          <w:sz w:val="22"/>
          <w:szCs w:val="22"/>
        </w:rPr>
      </w:pPr>
      <w:r w:rsidRPr="00E24514">
        <w:rPr>
          <w:sz w:val="22"/>
          <w:szCs w:val="22"/>
        </w:rPr>
        <w:t xml:space="preserve">Production </w:t>
      </w:r>
      <w:r>
        <w:rPr>
          <w:sz w:val="22"/>
          <w:szCs w:val="22"/>
        </w:rPr>
        <w:t>batches of slow release lambda-cyhalothrin</w:t>
      </w:r>
      <w:r w:rsidRPr="00E24514">
        <w:rPr>
          <w:sz w:val="22"/>
          <w:szCs w:val="22"/>
        </w:rPr>
        <w:t xml:space="preserve"> CS formulation </w:t>
      </w:r>
      <w:r>
        <w:rPr>
          <w:sz w:val="22"/>
          <w:szCs w:val="22"/>
        </w:rPr>
        <w:t>r</w:t>
      </w:r>
      <w:r w:rsidRPr="00E24514">
        <w:rPr>
          <w:sz w:val="22"/>
          <w:szCs w:val="22"/>
        </w:rPr>
        <w:t>outinely fail</w:t>
      </w:r>
      <w:r>
        <w:rPr>
          <w:sz w:val="22"/>
          <w:szCs w:val="22"/>
        </w:rPr>
        <w:t xml:space="preserve"> one or more parts of</w:t>
      </w:r>
      <w:r w:rsidRPr="00E24514">
        <w:rPr>
          <w:sz w:val="22"/>
          <w:szCs w:val="22"/>
        </w:rPr>
        <w:t xml:space="preserve"> the</w:t>
      </w:r>
      <w:r>
        <w:rPr>
          <w:sz w:val="22"/>
          <w:szCs w:val="22"/>
        </w:rPr>
        <w:t xml:space="preserve"> release rate specification clause, however</w:t>
      </w:r>
      <w:r w:rsidRPr="00E24514">
        <w:rPr>
          <w:sz w:val="22"/>
          <w:szCs w:val="22"/>
        </w:rPr>
        <w:t xml:space="preserve"> these batches </w:t>
      </w:r>
      <w:r>
        <w:rPr>
          <w:sz w:val="22"/>
          <w:szCs w:val="22"/>
        </w:rPr>
        <w:t>demonstrate perfectly acceptable biological activity which is at least equivalent to the standard sample and expectation of performance from many years of testing. It appears that there is n</w:t>
      </w:r>
      <w:r w:rsidRPr="00E24514">
        <w:rPr>
          <w:sz w:val="22"/>
          <w:szCs w:val="22"/>
        </w:rPr>
        <w:t>o direct relationship between</w:t>
      </w:r>
      <w:r>
        <w:rPr>
          <w:sz w:val="22"/>
          <w:szCs w:val="22"/>
        </w:rPr>
        <w:t xml:space="preserve"> the current</w:t>
      </w:r>
      <w:r w:rsidRPr="00E24514">
        <w:rPr>
          <w:sz w:val="22"/>
          <w:szCs w:val="22"/>
        </w:rPr>
        <w:t xml:space="preserve"> release rate specification</w:t>
      </w:r>
      <w:r>
        <w:rPr>
          <w:sz w:val="22"/>
          <w:szCs w:val="22"/>
        </w:rPr>
        <w:t xml:space="preserve"> clauses</w:t>
      </w:r>
      <w:r w:rsidRPr="00E24514">
        <w:rPr>
          <w:sz w:val="22"/>
          <w:szCs w:val="22"/>
        </w:rPr>
        <w:t xml:space="preserve"> and efficacy of a particular batch</w:t>
      </w:r>
      <w:r>
        <w:rPr>
          <w:sz w:val="22"/>
          <w:szCs w:val="22"/>
        </w:rPr>
        <w:t>.</w:t>
      </w:r>
    </w:p>
    <w:p w:rsidR="0069361E" w:rsidRPr="00E24514" w:rsidRDefault="0069361E" w:rsidP="0069361E">
      <w:pPr>
        <w:tabs>
          <w:tab w:val="left" w:pos="1713"/>
        </w:tabs>
        <w:spacing w:after="120"/>
        <w:jc w:val="both"/>
        <w:rPr>
          <w:sz w:val="22"/>
          <w:szCs w:val="22"/>
        </w:rPr>
      </w:pPr>
      <w:r>
        <w:rPr>
          <w:sz w:val="22"/>
          <w:szCs w:val="22"/>
        </w:rPr>
        <w:t>Therefore, in</w:t>
      </w:r>
      <w:r>
        <w:rPr>
          <w:sz w:val="22"/>
          <w:szCs w:val="22"/>
        </w:rPr>
        <w:t xml:space="preserve"> 2014</w:t>
      </w:r>
      <w:r>
        <w:rPr>
          <w:sz w:val="22"/>
          <w:szCs w:val="22"/>
        </w:rPr>
        <w:t xml:space="preserve"> Syngenta conducted a </w:t>
      </w:r>
      <w:r>
        <w:rPr>
          <w:sz w:val="22"/>
          <w:szCs w:val="22"/>
        </w:rPr>
        <w:t>study where</w:t>
      </w:r>
      <w:r>
        <w:rPr>
          <w:sz w:val="22"/>
          <w:szCs w:val="22"/>
        </w:rPr>
        <w:t xml:space="preserve"> fifteen</w:t>
      </w:r>
      <w:r w:rsidRPr="00E24514">
        <w:rPr>
          <w:sz w:val="22"/>
          <w:szCs w:val="22"/>
        </w:rPr>
        <w:t xml:space="preserve"> production batches of slow release CS formulations were tested for release rate profile and biological performance </w:t>
      </w:r>
      <w:r>
        <w:rPr>
          <w:sz w:val="22"/>
          <w:szCs w:val="22"/>
        </w:rPr>
        <w:t xml:space="preserve">in order </w:t>
      </w:r>
      <w:r w:rsidRPr="00E24514">
        <w:rPr>
          <w:sz w:val="22"/>
          <w:szCs w:val="22"/>
        </w:rPr>
        <w:t>to:</w:t>
      </w:r>
    </w:p>
    <w:p w:rsidR="0069361E" w:rsidRPr="00E2774B" w:rsidRDefault="0069361E" w:rsidP="0069361E">
      <w:pPr>
        <w:pStyle w:val="ListParagraph"/>
        <w:numPr>
          <w:ilvl w:val="0"/>
          <w:numId w:val="2"/>
        </w:numPr>
        <w:tabs>
          <w:tab w:val="left" w:pos="1713"/>
        </w:tabs>
        <w:spacing w:after="120"/>
        <w:rPr>
          <w:sz w:val="22"/>
          <w:szCs w:val="22"/>
        </w:rPr>
      </w:pPr>
      <w:r w:rsidRPr="00E2774B">
        <w:rPr>
          <w:sz w:val="22"/>
          <w:szCs w:val="22"/>
        </w:rPr>
        <w:t>Investigate the reproducibility of the release rate method</w:t>
      </w:r>
      <w:r>
        <w:rPr>
          <w:sz w:val="22"/>
          <w:szCs w:val="22"/>
        </w:rPr>
        <w:t xml:space="preserve"> (CIPAC MT190),</w:t>
      </w:r>
    </w:p>
    <w:p w:rsidR="0069361E" w:rsidRDefault="0069361E" w:rsidP="0069361E">
      <w:pPr>
        <w:pStyle w:val="ListParagraph"/>
        <w:numPr>
          <w:ilvl w:val="0"/>
          <w:numId w:val="2"/>
        </w:numPr>
        <w:tabs>
          <w:tab w:val="left" w:pos="1713"/>
        </w:tabs>
        <w:spacing w:after="120"/>
        <w:rPr>
          <w:sz w:val="22"/>
          <w:szCs w:val="22"/>
        </w:rPr>
      </w:pPr>
      <w:r>
        <w:rPr>
          <w:sz w:val="22"/>
          <w:szCs w:val="22"/>
        </w:rPr>
        <w:t>Demonstrate that batches which</w:t>
      </w:r>
      <w:r w:rsidRPr="00E2774B">
        <w:rPr>
          <w:sz w:val="22"/>
          <w:szCs w:val="22"/>
        </w:rPr>
        <w:t xml:space="preserve"> failed the release rate </w:t>
      </w:r>
      <w:r>
        <w:rPr>
          <w:sz w:val="22"/>
          <w:szCs w:val="22"/>
        </w:rPr>
        <w:t>clauses</w:t>
      </w:r>
      <w:r w:rsidRPr="00E2774B">
        <w:rPr>
          <w:sz w:val="22"/>
          <w:szCs w:val="22"/>
        </w:rPr>
        <w:t xml:space="preserve"> remained efficacious </w:t>
      </w:r>
    </w:p>
    <w:p w:rsidR="0069361E" w:rsidRPr="00507DBF" w:rsidRDefault="0069361E" w:rsidP="0069361E">
      <w:pPr>
        <w:pStyle w:val="ListParagraph"/>
        <w:numPr>
          <w:ilvl w:val="0"/>
          <w:numId w:val="2"/>
        </w:numPr>
        <w:tabs>
          <w:tab w:val="left" w:pos="1713"/>
        </w:tabs>
        <w:spacing w:after="120"/>
        <w:rPr>
          <w:sz w:val="22"/>
          <w:szCs w:val="22"/>
        </w:rPr>
      </w:pPr>
      <w:r>
        <w:rPr>
          <w:sz w:val="22"/>
          <w:szCs w:val="22"/>
        </w:rPr>
        <w:t>Provide data to propose</w:t>
      </w:r>
      <w:r w:rsidRPr="00E2774B">
        <w:rPr>
          <w:sz w:val="22"/>
          <w:szCs w:val="22"/>
        </w:rPr>
        <w:t xml:space="preserve"> a more appropriate specification </w:t>
      </w:r>
      <w:r>
        <w:rPr>
          <w:sz w:val="22"/>
          <w:szCs w:val="22"/>
        </w:rPr>
        <w:t xml:space="preserve">clause </w:t>
      </w:r>
      <w:r w:rsidRPr="00E2774B">
        <w:rPr>
          <w:sz w:val="22"/>
          <w:szCs w:val="22"/>
        </w:rPr>
        <w:t>for release rate</w:t>
      </w:r>
    </w:p>
    <w:p w:rsidR="0069361E" w:rsidRPr="00E24514" w:rsidRDefault="0069361E" w:rsidP="0069361E">
      <w:pPr>
        <w:tabs>
          <w:tab w:val="left" w:pos="1713"/>
        </w:tabs>
        <w:spacing w:after="120"/>
        <w:jc w:val="both"/>
        <w:rPr>
          <w:sz w:val="22"/>
          <w:szCs w:val="22"/>
        </w:rPr>
      </w:pPr>
      <w:r w:rsidRPr="007F0F81">
        <w:rPr>
          <w:sz w:val="22"/>
          <w:szCs w:val="22"/>
        </w:rPr>
        <w:t>The release rate profile was analysed at three Syngenta analytical sites and by an independent laboratory (CEMAS, UK).</w:t>
      </w:r>
    </w:p>
    <w:p w:rsidR="0069361E" w:rsidRDefault="0069361E" w:rsidP="0069361E">
      <w:pPr>
        <w:tabs>
          <w:tab w:val="left" w:pos="1713"/>
        </w:tabs>
        <w:spacing w:after="120"/>
        <w:jc w:val="both"/>
        <w:rPr>
          <w:sz w:val="22"/>
          <w:szCs w:val="22"/>
        </w:rPr>
      </w:pPr>
      <w:r w:rsidRPr="00E24514">
        <w:rPr>
          <w:sz w:val="22"/>
          <w:szCs w:val="22"/>
        </w:rPr>
        <w:t>The biological performance was assessed at Syngenta’s Stein site</w:t>
      </w:r>
      <w:r>
        <w:rPr>
          <w:sz w:val="22"/>
          <w:szCs w:val="22"/>
        </w:rPr>
        <w:t xml:space="preserve"> in Switzerland.</w:t>
      </w:r>
    </w:p>
    <w:p w:rsidR="0069361E" w:rsidRDefault="0069361E" w:rsidP="0069361E">
      <w:pPr>
        <w:tabs>
          <w:tab w:val="left" w:pos="1713"/>
        </w:tabs>
        <w:spacing w:after="120"/>
        <w:jc w:val="both"/>
        <w:rPr>
          <w:sz w:val="22"/>
          <w:szCs w:val="22"/>
        </w:rPr>
      </w:pPr>
      <w:r>
        <w:rPr>
          <w:sz w:val="22"/>
          <w:szCs w:val="22"/>
        </w:rPr>
        <w:t xml:space="preserve">Following statistical data analysis Syngenta concluded that the release rate results showed that the greatest source of variability was due to batch to batch variation i.e. variability inherent of the manufacturing process. Additionally, with respect to the analytical method (CIPAC MT190) random analytical variability appeared greater than site to site variability i.e. the method, providing it was followed carefully according to the specified conditions, was robust between laboratories. </w:t>
      </w:r>
    </w:p>
    <w:p w:rsidR="00355B90" w:rsidRDefault="00355B90" w:rsidP="00355B90">
      <w:pPr>
        <w:tabs>
          <w:tab w:val="left" w:pos="1713"/>
        </w:tabs>
        <w:spacing w:after="120"/>
        <w:jc w:val="both"/>
        <w:rPr>
          <w:sz w:val="22"/>
          <w:szCs w:val="22"/>
        </w:rPr>
      </w:pPr>
      <w:r>
        <w:rPr>
          <w:sz w:val="22"/>
          <w:szCs w:val="22"/>
        </w:rPr>
        <w:lastRenderedPageBreak/>
        <w:t xml:space="preserve">Finally, it was concluded that the release rate method itself was considered to be fit for purpose, again with the proviso that the method conditions were strictly adhered too (see below – </w:t>
      </w:r>
      <w:r>
        <w:rPr>
          <w:b/>
          <w:sz w:val="22"/>
          <w:szCs w:val="22"/>
        </w:rPr>
        <w:t>Method Variability CIPAC MT190</w:t>
      </w:r>
      <w:r>
        <w:rPr>
          <w:sz w:val="22"/>
          <w:szCs w:val="22"/>
        </w:rPr>
        <w:t>).</w:t>
      </w:r>
    </w:p>
    <w:p w:rsidR="00355B90" w:rsidRDefault="00355B90" w:rsidP="00355B90">
      <w:pPr>
        <w:tabs>
          <w:tab w:val="left" w:pos="1713"/>
        </w:tabs>
        <w:spacing w:after="120"/>
        <w:jc w:val="both"/>
        <w:rPr>
          <w:sz w:val="22"/>
          <w:szCs w:val="22"/>
        </w:rPr>
      </w:pPr>
      <w:r>
        <w:rPr>
          <w:sz w:val="22"/>
          <w:szCs w:val="22"/>
        </w:rPr>
        <w:t>Analysis of the results demonstrated two important points regarding the current release rate clause:</w:t>
      </w:r>
    </w:p>
    <w:p w:rsidR="00355B90" w:rsidRDefault="00355B90" w:rsidP="00355B90">
      <w:pPr>
        <w:pStyle w:val="ListParagraph"/>
        <w:numPr>
          <w:ilvl w:val="0"/>
          <w:numId w:val="3"/>
        </w:numPr>
        <w:tabs>
          <w:tab w:val="left" w:pos="1713"/>
        </w:tabs>
        <w:spacing w:after="120"/>
        <w:jc w:val="both"/>
        <w:rPr>
          <w:sz w:val="22"/>
          <w:szCs w:val="22"/>
        </w:rPr>
      </w:pPr>
      <w:r>
        <w:rPr>
          <w:sz w:val="22"/>
          <w:szCs w:val="22"/>
        </w:rPr>
        <w:t>The data suggested that the most confident prediction of an “in-specification” result would be at the 15minute time assessment point i.e. the variability at the 15minute point was lower than for the later assessment points.</w:t>
      </w:r>
    </w:p>
    <w:p w:rsidR="00355B90" w:rsidRPr="002D558A" w:rsidRDefault="00355B90" w:rsidP="00355B90">
      <w:pPr>
        <w:pStyle w:val="ListParagraph"/>
        <w:tabs>
          <w:tab w:val="left" w:pos="1713"/>
        </w:tabs>
        <w:spacing w:after="120"/>
        <w:jc w:val="both"/>
        <w:rPr>
          <w:sz w:val="22"/>
          <w:szCs w:val="22"/>
        </w:rPr>
      </w:pPr>
    </w:p>
    <w:p w:rsidR="00355B90" w:rsidRDefault="00355B90" w:rsidP="00355B90">
      <w:pPr>
        <w:pStyle w:val="ListParagraph"/>
        <w:numPr>
          <w:ilvl w:val="0"/>
          <w:numId w:val="3"/>
        </w:numPr>
        <w:tabs>
          <w:tab w:val="left" w:pos="1713"/>
        </w:tabs>
        <w:spacing w:after="120"/>
        <w:jc w:val="both"/>
        <w:rPr>
          <w:sz w:val="22"/>
          <w:szCs w:val="22"/>
        </w:rPr>
      </w:pPr>
      <w:r>
        <w:rPr>
          <w:sz w:val="22"/>
          <w:szCs w:val="22"/>
        </w:rPr>
        <w:t>A large proportion of the results would be expected to fall below the current specification limit at the 180minute assessment time point.</w:t>
      </w:r>
    </w:p>
    <w:p w:rsidR="00355B90" w:rsidRDefault="00355B90" w:rsidP="00355B90">
      <w:pPr>
        <w:pStyle w:val="ListParagraph"/>
        <w:tabs>
          <w:tab w:val="left" w:pos="1713"/>
        </w:tabs>
        <w:spacing w:after="120"/>
        <w:jc w:val="both"/>
        <w:rPr>
          <w:sz w:val="22"/>
          <w:szCs w:val="22"/>
        </w:rPr>
      </w:pPr>
    </w:p>
    <w:p w:rsidR="00355B90" w:rsidRDefault="00355B90" w:rsidP="00355B90">
      <w:pPr>
        <w:jc w:val="both"/>
        <w:rPr>
          <w:sz w:val="22"/>
          <w:szCs w:val="22"/>
        </w:rPr>
      </w:pPr>
      <w:r w:rsidRPr="00684728">
        <w:rPr>
          <w:sz w:val="22"/>
          <w:szCs w:val="22"/>
        </w:rPr>
        <w:t>The results from the release rate study suggested that further investigations could be beneficial. However, the release rate methodology remains a complex analytical process and micro-encapsulated formulations and themselves inherently complex to manufacture, therefore the potential for uncertain, variable results is clear.</w:t>
      </w:r>
    </w:p>
    <w:p w:rsidR="00355B90" w:rsidRDefault="00355B90" w:rsidP="00355B90">
      <w:pPr>
        <w:jc w:val="both"/>
        <w:rPr>
          <w:sz w:val="22"/>
          <w:szCs w:val="22"/>
        </w:rPr>
      </w:pPr>
    </w:p>
    <w:p w:rsidR="00355B90" w:rsidRDefault="00355B90" w:rsidP="00355B90">
      <w:pPr>
        <w:jc w:val="both"/>
        <w:rPr>
          <w:sz w:val="22"/>
          <w:szCs w:val="22"/>
        </w:rPr>
      </w:pPr>
      <w:r>
        <w:rPr>
          <w:sz w:val="22"/>
          <w:szCs w:val="22"/>
        </w:rPr>
        <w:t>Biological performance of the fifteen batches was assessed under two protocols; a knock-down test using German cockroaches (</w:t>
      </w:r>
      <w:r w:rsidRPr="00C467C0">
        <w:rPr>
          <w:i/>
          <w:sz w:val="22"/>
          <w:szCs w:val="22"/>
        </w:rPr>
        <w:t>Blattella germanica</w:t>
      </w:r>
      <w:r>
        <w:rPr>
          <w:sz w:val="22"/>
          <w:szCs w:val="22"/>
        </w:rPr>
        <w:t>) exposed to dilute spray dispersions of the production samples and a residual efficacy test where mosquitoes (</w:t>
      </w:r>
      <w:r w:rsidRPr="00C467C0">
        <w:rPr>
          <w:i/>
          <w:sz w:val="22"/>
          <w:szCs w:val="22"/>
        </w:rPr>
        <w:t>Ades aegypti</w:t>
      </w:r>
      <w:r>
        <w:rPr>
          <w:sz w:val="22"/>
          <w:szCs w:val="22"/>
        </w:rPr>
        <w:t>) were exposed to a substrate treated again with the dilute dispersions. Assessment of knock-down and mortality were then made at different time points.</w:t>
      </w:r>
    </w:p>
    <w:p w:rsidR="00355B90" w:rsidRDefault="00355B90" w:rsidP="00355B90">
      <w:pPr>
        <w:jc w:val="both"/>
        <w:rPr>
          <w:sz w:val="22"/>
          <w:szCs w:val="22"/>
        </w:rPr>
      </w:pPr>
    </w:p>
    <w:p w:rsidR="00355B90" w:rsidRDefault="00355B90" w:rsidP="00355B90">
      <w:pPr>
        <w:jc w:val="both"/>
        <w:rPr>
          <w:sz w:val="22"/>
          <w:szCs w:val="22"/>
        </w:rPr>
      </w:pPr>
      <w:r>
        <w:rPr>
          <w:sz w:val="22"/>
          <w:szCs w:val="22"/>
        </w:rPr>
        <w:t>Conclusions from the two tests demonstrated that for the fifteen production batches:</w:t>
      </w:r>
    </w:p>
    <w:p w:rsidR="00355B90" w:rsidRDefault="00355B90" w:rsidP="00355B90">
      <w:pPr>
        <w:jc w:val="both"/>
        <w:rPr>
          <w:sz w:val="22"/>
          <w:szCs w:val="22"/>
        </w:rPr>
      </w:pPr>
    </w:p>
    <w:p w:rsidR="00355B90" w:rsidRDefault="00355B90" w:rsidP="00355B90">
      <w:pPr>
        <w:pStyle w:val="ListParagraph"/>
        <w:numPr>
          <w:ilvl w:val="0"/>
          <w:numId w:val="4"/>
        </w:numPr>
        <w:jc w:val="both"/>
        <w:rPr>
          <w:sz w:val="22"/>
          <w:szCs w:val="22"/>
        </w:rPr>
      </w:pPr>
      <w:r>
        <w:rPr>
          <w:sz w:val="22"/>
          <w:szCs w:val="22"/>
        </w:rPr>
        <w:t>Knock-down time was no different to the standard sample; under the conditions of the test the KD</w:t>
      </w:r>
      <w:r w:rsidRPr="00313773">
        <w:rPr>
          <w:sz w:val="22"/>
          <w:szCs w:val="22"/>
          <w:vertAlign w:val="subscript"/>
        </w:rPr>
        <w:t>50</w:t>
      </w:r>
      <w:r>
        <w:rPr>
          <w:sz w:val="22"/>
          <w:szCs w:val="22"/>
        </w:rPr>
        <w:t>, the time taken to knock-down (immobilize) 50% of the cockroaches, was within the expected range.</w:t>
      </w:r>
    </w:p>
    <w:p w:rsidR="00355B90" w:rsidRDefault="00355B90" w:rsidP="00355B90">
      <w:pPr>
        <w:pStyle w:val="ListParagraph"/>
        <w:jc w:val="both"/>
        <w:rPr>
          <w:sz w:val="22"/>
          <w:szCs w:val="22"/>
        </w:rPr>
      </w:pPr>
    </w:p>
    <w:p w:rsidR="00355B90" w:rsidRPr="007B4E0C" w:rsidRDefault="00355B90" w:rsidP="00355B90">
      <w:pPr>
        <w:pStyle w:val="ListParagraph"/>
        <w:numPr>
          <w:ilvl w:val="0"/>
          <w:numId w:val="4"/>
        </w:numPr>
        <w:jc w:val="both"/>
        <w:rPr>
          <w:sz w:val="22"/>
          <w:szCs w:val="22"/>
        </w:rPr>
      </w:pPr>
      <w:r>
        <w:rPr>
          <w:sz w:val="22"/>
          <w:szCs w:val="22"/>
        </w:rPr>
        <w:t xml:space="preserve">Residual biological activity was excellent with greater than 90% mortality of mosquitoes at least 6months after application of the spray dilutions to a standard cement substrate. </w:t>
      </w:r>
    </w:p>
    <w:p w:rsidR="00355B90" w:rsidRDefault="00355B90" w:rsidP="00355B90">
      <w:pPr>
        <w:jc w:val="both"/>
        <w:rPr>
          <w:sz w:val="22"/>
          <w:szCs w:val="22"/>
        </w:rPr>
      </w:pPr>
    </w:p>
    <w:p w:rsidR="00355B90" w:rsidRDefault="00355B90" w:rsidP="00355B90">
      <w:pPr>
        <w:jc w:val="both"/>
        <w:rPr>
          <w:sz w:val="22"/>
          <w:szCs w:val="22"/>
        </w:rPr>
      </w:pPr>
      <w:r>
        <w:rPr>
          <w:sz w:val="22"/>
          <w:szCs w:val="22"/>
        </w:rPr>
        <w:t xml:space="preserve">Overall, it was concluded that all fifteen production batches were efficacious irrespective of the measured differences in release rate profile, which strongly suggests that intrinsic release rate, as measured </w:t>
      </w:r>
      <w:r w:rsidRPr="00454A57">
        <w:rPr>
          <w:i/>
          <w:sz w:val="22"/>
          <w:szCs w:val="22"/>
        </w:rPr>
        <w:t>in vitro</w:t>
      </w:r>
      <w:r>
        <w:rPr>
          <w:sz w:val="22"/>
          <w:szCs w:val="22"/>
        </w:rPr>
        <w:t xml:space="preserve"> is not a good predictor of biological activity.</w:t>
      </w:r>
    </w:p>
    <w:p w:rsidR="00355B90" w:rsidRDefault="00355B90" w:rsidP="00355B90">
      <w:pPr>
        <w:jc w:val="both"/>
        <w:rPr>
          <w:sz w:val="22"/>
          <w:szCs w:val="22"/>
        </w:rPr>
      </w:pPr>
    </w:p>
    <w:p w:rsidR="00355B90" w:rsidRPr="00684728" w:rsidRDefault="00355B90" w:rsidP="00355B90">
      <w:pPr>
        <w:jc w:val="both"/>
        <w:rPr>
          <w:sz w:val="22"/>
          <w:szCs w:val="22"/>
        </w:rPr>
      </w:pPr>
      <w:r>
        <w:rPr>
          <w:sz w:val="22"/>
          <w:szCs w:val="22"/>
        </w:rPr>
        <w:t>Taking into account the release rate and biological efficacy data, Syngenta postulated that the current release rate clause in the WHO specification 463/CS is not appropriate and should be modified, in principle, to a single measurement at 15minutes with a modified “% released range” for lambda-cyhalothrin, to be defined.</w:t>
      </w:r>
    </w:p>
    <w:p w:rsidR="00355B90" w:rsidRDefault="00355B90" w:rsidP="00355B90">
      <w:pPr>
        <w:spacing w:after="160" w:line="259" w:lineRule="auto"/>
        <w:rPr>
          <w:b/>
          <w:sz w:val="22"/>
          <w:szCs w:val="22"/>
        </w:rPr>
      </w:pPr>
    </w:p>
    <w:p w:rsidR="00355B90" w:rsidRPr="004D7A81" w:rsidRDefault="00355B90" w:rsidP="00355B90">
      <w:pPr>
        <w:spacing w:after="120"/>
        <w:rPr>
          <w:b/>
          <w:sz w:val="22"/>
          <w:szCs w:val="22"/>
        </w:rPr>
      </w:pPr>
      <w:r w:rsidRPr="004D7A81">
        <w:rPr>
          <w:b/>
          <w:sz w:val="22"/>
          <w:szCs w:val="22"/>
        </w:rPr>
        <w:t>Additional Release-rate and Biological Efficacy Data (2017/2018)</w:t>
      </w:r>
    </w:p>
    <w:p w:rsidR="00B308A9" w:rsidRDefault="00355B90" w:rsidP="00355B90">
      <w:pPr>
        <w:rPr>
          <w:sz w:val="22"/>
          <w:szCs w:val="22"/>
        </w:rPr>
      </w:pPr>
      <w:r>
        <w:rPr>
          <w:sz w:val="22"/>
          <w:szCs w:val="22"/>
        </w:rPr>
        <w:t>During the years 2017 and 2018 further studies were conducted to look again at the method variability (CIPAC MT190), release rate and biology of a further set of production samples of ICON 10CS.</w:t>
      </w:r>
    </w:p>
    <w:p w:rsidR="00B308A9" w:rsidRDefault="00B308A9">
      <w:pPr>
        <w:spacing w:line="240" w:lineRule="auto"/>
        <w:rPr>
          <w:sz w:val="22"/>
          <w:szCs w:val="22"/>
        </w:rPr>
      </w:pPr>
      <w:r>
        <w:rPr>
          <w:sz w:val="22"/>
          <w:szCs w:val="22"/>
        </w:rPr>
        <w:br w:type="page"/>
      </w:r>
    </w:p>
    <w:p w:rsidR="0004436A" w:rsidRPr="004D7A81" w:rsidRDefault="0004436A" w:rsidP="0004436A">
      <w:pPr>
        <w:spacing w:after="120"/>
        <w:rPr>
          <w:b/>
          <w:sz w:val="22"/>
          <w:szCs w:val="22"/>
        </w:rPr>
      </w:pPr>
      <w:r w:rsidRPr="004D7A81">
        <w:rPr>
          <w:b/>
          <w:sz w:val="22"/>
          <w:szCs w:val="22"/>
        </w:rPr>
        <w:lastRenderedPageBreak/>
        <w:t>Method Variability (CIPAC MT190)</w:t>
      </w:r>
    </w:p>
    <w:p w:rsidR="0004436A" w:rsidRDefault="0004436A" w:rsidP="0004436A">
      <w:pPr>
        <w:jc w:val="both"/>
        <w:rPr>
          <w:sz w:val="22"/>
          <w:szCs w:val="22"/>
        </w:rPr>
      </w:pPr>
      <w:r>
        <w:rPr>
          <w:sz w:val="22"/>
          <w:szCs w:val="22"/>
        </w:rPr>
        <w:t xml:space="preserve">During the 2014 release rate investigation with </w:t>
      </w:r>
      <w:r w:rsidRPr="00454A57">
        <w:rPr>
          <w:sz w:val="22"/>
          <w:szCs w:val="22"/>
        </w:rPr>
        <w:t>five</w:t>
      </w:r>
      <w:r>
        <w:rPr>
          <w:sz w:val="22"/>
          <w:szCs w:val="22"/>
        </w:rPr>
        <w:t xml:space="preserve"> different laboratories analysing fifteen production batches of ICON 10CS, Syngenta became concerned about variability in the results generated across the laboratories.</w:t>
      </w:r>
    </w:p>
    <w:p w:rsidR="0004436A" w:rsidRDefault="0004436A" w:rsidP="0004436A">
      <w:pPr>
        <w:jc w:val="both"/>
        <w:rPr>
          <w:sz w:val="22"/>
          <w:szCs w:val="22"/>
        </w:rPr>
      </w:pPr>
    </w:p>
    <w:p w:rsidR="0004436A" w:rsidRDefault="0004436A" w:rsidP="0004436A">
      <w:pPr>
        <w:spacing w:after="240"/>
        <w:jc w:val="both"/>
        <w:rPr>
          <w:sz w:val="22"/>
          <w:szCs w:val="22"/>
        </w:rPr>
      </w:pPr>
      <w:r>
        <w:rPr>
          <w:sz w:val="22"/>
          <w:szCs w:val="22"/>
        </w:rPr>
        <w:t>When a new study was initiated in 2018 involving four different laboratories discussions at laboratory level as to the precise procedure followed, revealed that the preparation of the Internal Standard (IS) solution was not clear in the respective CIPAC Handbook. As a consequence, a different volume of ethanol was used for the preparation of the IS across the laboratories; two laboratories used 100ml and three laboratories were using 50ml. An erratum (below) was published by CIPAC but not all laboratories were aware, leading to the use of different volumes of ethanol being used.</w:t>
      </w:r>
    </w:p>
    <w:p w:rsidR="0004436A" w:rsidRPr="00F27765" w:rsidRDefault="0004436A" w:rsidP="0004436A">
      <w:pPr>
        <w:spacing w:after="120"/>
        <w:jc w:val="both"/>
        <w:rPr>
          <w:b/>
        </w:rPr>
      </w:pPr>
      <w:r w:rsidRPr="00353C71">
        <w:rPr>
          <w:b/>
        </w:rPr>
        <w:t>Fig 1. Erratum to CIPAC MT190</w:t>
      </w:r>
    </w:p>
    <w:tbl>
      <w:tblPr>
        <w:tblStyle w:val="TableGrid"/>
        <w:tblW w:w="0" w:type="auto"/>
        <w:tblLook w:val="04A0" w:firstRow="1" w:lastRow="0" w:firstColumn="1" w:lastColumn="0" w:noHBand="0" w:noVBand="1"/>
      </w:tblPr>
      <w:tblGrid>
        <w:gridCol w:w="9060"/>
      </w:tblGrid>
      <w:tr w:rsidR="0004436A" w:rsidTr="00ED1F89">
        <w:trPr>
          <w:trHeight w:val="2028"/>
        </w:trPr>
        <w:tc>
          <w:tcPr>
            <w:tcW w:w="9350" w:type="dxa"/>
          </w:tcPr>
          <w:p w:rsidR="0004436A" w:rsidRDefault="0004436A" w:rsidP="00ED1F89">
            <w:pPr>
              <w:spacing w:before="120" w:after="120" w:line="259" w:lineRule="auto"/>
            </w:pPr>
            <w:r w:rsidRPr="00776F2B">
              <w:rPr>
                <w:noProof/>
                <w:lang w:val="en-GB" w:eastAsia="en-GB"/>
              </w:rPr>
              <w:drawing>
                <wp:inline distT="0" distB="0" distL="0" distR="0" wp14:anchorId="0E89F706" wp14:editId="5DD65E78">
                  <wp:extent cx="5943600" cy="1136650"/>
                  <wp:effectExtent l="0" t="0" r="0" b="635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a:stretch>
                            <a:fillRect/>
                          </a:stretch>
                        </pic:blipFill>
                        <pic:spPr>
                          <a:xfrm>
                            <a:off x="0" y="0"/>
                            <a:ext cx="5943600" cy="1136650"/>
                          </a:xfrm>
                          <a:prstGeom prst="rect">
                            <a:avLst/>
                          </a:prstGeom>
                        </pic:spPr>
                      </pic:pic>
                    </a:graphicData>
                  </a:graphic>
                </wp:inline>
              </w:drawing>
            </w:r>
          </w:p>
        </w:tc>
      </w:tr>
    </w:tbl>
    <w:p w:rsidR="0004436A" w:rsidRDefault="0004436A" w:rsidP="0004436A">
      <w:pPr>
        <w:spacing w:after="160" w:line="259" w:lineRule="auto"/>
        <w:rPr>
          <w:sz w:val="22"/>
          <w:szCs w:val="22"/>
        </w:rPr>
      </w:pPr>
    </w:p>
    <w:p w:rsidR="0004436A" w:rsidRDefault="0004436A" w:rsidP="0004436A">
      <w:pPr>
        <w:spacing w:after="160" w:line="259" w:lineRule="auto"/>
        <w:jc w:val="both"/>
        <w:rPr>
          <w:sz w:val="22"/>
          <w:szCs w:val="22"/>
        </w:rPr>
      </w:pPr>
      <w:r>
        <w:rPr>
          <w:sz w:val="22"/>
          <w:szCs w:val="22"/>
        </w:rPr>
        <w:t>The consequence of the use of different volumes of ethanol is highly significant with respect to the measured release rate. Ten production batches of ICON 10CS were analysed using CIPAC MT190 by CRA-W, Belgium using 50 and 100mls ethanol during the IS preparation and subsequent rolling/extraction. The results are given graphically in Fig 2.</w:t>
      </w:r>
    </w:p>
    <w:p w:rsidR="0004436A" w:rsidRPr="00353C71" w:rsidRDefault="0004436A" w:rsidP="0004436A">
      <w:pPr>
        <w:spacing w:after="120"/>
        <w:jc w:val="both"/>
        <w:rPr>
          <w:b/>
        </w:rPr>
      </w:pPr>
      <w:r>
        <w:rPr>
          <w:b/>
        </w:rPr>
        <w:t xml:space="preserve">Fig 2. Release-rate (CIPAC MT190) </w:t>
      </w:r>
      <w:r w:rsidRPr="00353C71">
        <w:rPr>
          <w:b/>
          <w:i/>
        </w:rPr>
        <w:t>vs</w:t>
      </w:r>
      <w:r>
        <w:rPr>
          <w:b/>
        </w:rPr>
        <w:t xml:space="preserve"> Ethanol Volume</w:t>
      </w:r>
    </w:p>
    <w:tbl>
      <w:tblPr>
        <w:tblStyle w:val="TableGrid"/>
        <w:tblW w:w="0" w:type="auto"/>
        <w:tblLook w:val="04A0" w:firstRow="1" w:lastRow="0" w:firstColumn="1" w:lastColumn="0" w:noHBand="0" w:noVBand="1"/>
      </w:tblPr>
      <w:tblGrid>
        <w:gridCol w:w="8642"/>
      </w:tblGrid>
      <w:tr w:rsidR="0004436A" w:rsidTr="00ED1F89">
        <w:trPr>
          <w:trHeight w:val="2192"/>
        </w:trPr>
        <w:tc>
          <w:tcPr>
            <w:tcW w:w="8642" w:type="dxa"/>
          </w:tcPr>
          <w:p w:rsidR="0004436A" w:rsidRDefault="0004436A" w:rsidP="00ED1F89">
            <w:pPr>
              <w:spacing w:before="120" w:after="120" w:line="259" w:lineRule="auto"/>
            </w:pPr>
            <w:r w:rsidRPr="00C96079">
              <w:rPr>
                <w:noProof/>
                <w:lang w:val="en-GB" w:eastAsia="en-GB"/>
              </w:rPr>
              <w:drawing>
                <wp:inline distT="0" distB="0" distL="0" distR="0" wp14:anchorId="03F311C4" wp14:editId="1EFD3C76">
                  <wp:extent cx="5303980" cy="2751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03980" cy="2751058"/>
                          </a:xfrm>
                          <a:prstGeom prst="rect">
                            <a:avLst/>
                          </a:prstGeom>
                        </pic:spPr>
                      </pic:pic>
                    </a:graphicData>
                  </a:graphic>
                </wp:inline>
              </w:drawing>
            </w:r>
          </w:p>
        </w:tc>
      </w:tr>
    </w:tbl>
    <w:p w:rsidR="0004436A" w:rsidRPr="007F0F81" w:rsidRDefault="0004436A" w:rsidP="0004436A">
      <w:pPr>
        <w:spacing w:before="60" w:after="120" w:line="259" w:lineRule="auto"/>
        <w:jc w:val="both"/>
        <w:rPr>
          <w:sz w:val="16"/>
          <w:szCs w:val="16"/>
        </w:rPr>
      </w:pPr>
      <w:r w:rsidRPr="007F0F81">
        <w:rPr>
          <w:sz w:val="16"/>
          <w:szCs w:val="16"/>
        </w:rPr>
        <w:t>References: Baes M.</w:t>
      </w:r>
      <w:r>
        <w:rPr>
          <w:sz w:val="16"/>
          <w:szCs w:val="16"/>
        </w:rPr>
        <w:t>, (2019)</w:t>
      </w:r>
    </w:p>
    <w:p w:rsidR="00355B90" w:rsidRPr="00017C4F" w:rsidRDefault="00355B90" w:rsidP="00355B90">
      <w:pPr>
        <w:rPr>
          <w:sz w:val="22"/>
          <w:szCs w:val="22"/>
        </w:rPr>
      </w:pPr>
    </w:p>
    <w:p w:rsidR="00775175" w:rsidRDefault="00775175" w:rsidP="00775175">
      <w:pPr>
        <w:spacing w:after="160" w:line="259" w:lineRule="auto"/>
        <w:jc w:val="both"/>
        <w:rPr>
          <w:sz w:val="22"/>
          <w:szCs w:val="22"/>
        </w:rPr>
      </w:pPr>
      <w:r>
        <w:rPr>
          <w:sz w:val="22"/>
          <w:szCs w:val="22"/>
        </w:rPr>
        <w:lastRenderedPageBreak/>
        <w:t>Clearly the volume of ethanol used during IS preparation has a significant effect on the magnitude of the released lambda-cyhalothrin under the conditions of the test and is therefore a major potential source of variability in the measured data. The greater volume of ethanol (100 vs. 50ml gives rise to a greater amount of lambda-cyhalothrin released. The conclusion being that the correct amount to be used (100ml) should be clearly stated in method CIPAC MT190.</w:t>
      </w:r>
    </w:p>
    <w:p w:rsidR="00775175" w:rsidRDefault="00775175" w:rsidP="00775175">
      <w:pPr>
        <w:spacing w:after="120" w:line="259" w:lineRule="auto"/>
        <w:rPr>
          <w:b/>
          <w:sz w:val="22"/>
          <w:szCs w:val="22"/>
        </w:rPr>
      </w:pPr>
      <w:r w:rsidRPr="00930DAD">
        <w:rPr>
          <w:b/>
          <w:sz w:val="22"/>
          <w:szCs w:val="22"/>
        </w:rPr>
        <w:t>Release rate “Round-robin” Exercise</w:t>
      </w:r>
    </w:p>
    <w:p w:rsidR="00775175" w:rsidRDefault="00775175" w:rsidP="00775175">
      <w:pPr>
        <w:spacing w:after="120" w:line="259" w:lineRule="auto"/>
        <w:jc w:val="both"/>
        <w:rPr>
          <w:sz w:val="22"/>
          <w:szCs w:val="22"/>
        </w:rPr>
      </w:pPr>
      <w:r>
        <w:rPr>
          <w:sz w:val="22"/>
          <w:szCs w:val="22"/>
        </w:rPr>
        <w:t>A small scale study was organised with four laboratories with ten production batches of ICON 10CS using the correct amount of ethanol (100ml) for IS preparation, to understand how the data relates to the current WHO specification 463/CS.</w:t>
      </w:r>
    </w:p>
    <w:p w:rsidR="00775175" w:rsidRDefault="00775175" w:rsidP="00775175">
      <w:pPr>
        <w:spacing w:after="120" w:line="259" w:lineRule="auto"/>
        <w:jc w:val="both"/>
        <w:rPr>
          <w:sz w:val="22"/>
          <w:szCs w:val="22"/>
        </w:rPr>
      </w:pPr>
      <w:r>
        <w:rPr>
          <w:sz w:val="22"/>
          <w:szCs w:val="22"/>
        </w:rPr>
        <w:t>Ten batches of ICON10CS were analysed according to CIPAC MT190 by:</w:t>
      </w:r>
    </w:p>
    <w:p w:rsidR="00775175" w:rsidRDefault="00775175" w:rsidP="00775175">
      <w:pPr>
        <w:pStyle w:val="ListParagraph"/>
        <w:numPr>
          <w:ilvl w:val="0"/>
          <w:numId w:val="5"/>
        </w:numPr>
        <w:spacing w:after="120" w:line="259" w:lineRule="auto"/>
        <w:jc w:val="both"/>
        <w:rPr>
          <w:sz w:val="22"/>
          <w:szCs w:val="22"/>
        </w:rPr>
      </w:pPr>
      <w:r>
        <w:rPr>
          <w:sz w:val="22"/>
          <w:szCs w:val="22"/>
        </w:rPr>
        <w:t>Walloon Agricultural Research Centre, Gembloux, Belgium(CRA-W)</w:t>
      </w:r>
    </w:p>
    <w:p w:rsidR="00775175" w:rsidRDefault="00775175" w:rsidP="00775175">
      <w:pPr>
        <w:pStyle w:val="ListParagraph"/>
        <w:numPr>
          <w:ilvl w:val="0"/>
          <w:numId w:val="5"/>
        </w:numPr>
        <w:spacing w:after="120" w:line="259" w:lineRule="auto"/>
        <w:jc w:val="both"/>
        <w:rPr>
          <w:sz w:val="22"/>
          <w:szCs w:val="22"/>
        </w:rPr>
      </w:pPr>
      <w:r>
        <w:rPr>
          <w:sz w:val="22"/>
          <w:szCs w:val="22"/>
        </w:rPr>
        <w:t>CEM Analytical Services Ltd, Wokingham, UK (CEMAS)</w:t>
      </w:r>
    </w:p>
    <w:p w:rsidR="00775175" w:rsidRDefault="00775175" w:rsidP="00775175">
      <w:pPr>
        <w:pStyle w:val="ListParagraph"/>
        <w:numPr>
          <w:ilvl w:val="0"/>
          <w:numId w:val="5"/>
        </w:numPr>
        <w:spacing w:after="120" w:line="259" w:lineRule="auto"/>
        <w:jc w:val="both"/>
        <w:rPr>
          <w:sz w:val="22"/>
          <w:szCs w:val="22"/>
        </w:rPr>
      </w:pPr>
      <w:r>
        <w:rPr>
          <w:sz w:val="22"/>
          <w:szCs w:val="22"/>
        </w:rPr>
        <w:t>Syngenta Seneffe Quality Control Laboratory, Seneffe, Belgium (Seneffe)</w:t>
      </w:r>
    </w:p>
    <w:p w:rsidR="00775175" w:rsidRDefault="00775175" w:rsidP="00775175">
      <w:pPr>
        <w:pStyle w:val="ListParagraph"/>
        <w:numPr>
          <w:ilvl w:val="0"/>
          <w:numId w:val="5"/>
        </w:numPr>
        <w:spacing w:after="120" w:line="259" w:lineRule="auto"/>
        <w:jc w:val="both"/>
        <w:rPr>
          <w:sz w:val="22"/>
          <w:szCs w:val="22"/>
        </w:rPr>
      </w:pPr>
      <w:r>
        <w:rPr>
          <w:sz w:val="22"/>
          <w:szCs w:val="22"/>
        </w:rPr>
        <w:t>Syngenta Analytical Sciences and Product Chemistry, Munchwilen, Switzerland (CHMU)</w:t>
      </w:r>
    </w:p>
    <w:p w:rsidR="00775175" w:rsidRDefault="00775175" w:rsidP="00775175">
      <w:pPr>
        <w:spacing w:after="120" w:line="259" w:lineRule="auto"/>
        <w:jc w:val="both"/>
        <w:rPr>
          <w:sz w:val="22"/>
          <w:szCs w:val="22"/>
        </w:rPr>
      </w:pPr>
      <w:r>
        <w:rPr>
          <w:sz w:val="22"/>
          <w:szCs w:val="22"/>
        </w:rPr>
        <w:t>According to CIPAC MT190 and subsequent rolling/extraction and analysis a summary of the results are given graphically below in Figs 3 and 4, for the 15 and 180minute time points.</w:t>
      </w:r>
    </w:p>
    <w:p w:rsidR="00775175" w:rsidRDefault="00775175" w:rsidP="00775175">
      <w:pPr>
        <w:spacing w:after="120" w:line="259" w:lineRule="auto"/>
        <w:jc w:val="both"/>
        <w:rPr>
          <w:sz w:val="22"/>
          <w:szCs w:val="22"/>
        </w:rPr>
      </w:pPr>
      <w:r>
        <w:rPr>
          <w:sz w:val="22"/>
          <w:szCs w:val="22"/>
        </w:rPr>
        <w:t>The black horizontal bars indicate the minimum and maximum specification limits according to the current WHO 463/CS specification and the batch numbers for the ten production batches are given on the x-axis e.g. BSN7D2980 etc.</w:t>
      </w:r>
    </w:p>
    <w:p w:rsidR="00775175" w:rsidRDefault="00775175" w:rsidP="00775175">
      <w:pPr>
        <w:spacing w:after="120" w:line="259" w:lineRule="auto"/>
        <w:jc w:val="both"/>
        <w:rPr>
          <w:sz w:val="22"/>
          <w:szCs w:val="22"/>
        </w:rPr>
      </w:pPr>
    </w:p>
    <w:p w:rsidR="00775175" w:rsidRPr="00353C71" w:rsidRDefault="00775175" w:rsidP="00775175">
      <w:pPr>
        <w:spacing w:after="120"/>
        <w:jc w:val="both"/>
        <w:rPr>
          <w:b/>
        </w:rPr>
      </w:pPr>
      <w:r>
        <w:rPr>
          <w:b/>
        </w:rPr>
        <w:t xml:space="preserve">Fig 3. Release-rate at 15minutes </w:t>
      </w:r>
      <w:r w:rsidRPr="00606794">
        <w:rPr>
          <w:b/>
          <w:i/>
        </w:rPr>
        <w:t>cf.</w:t>
      </w:r>
      <w:r>
        <w:rPr>
          <w:b/>
        </w:rPr>
        <w:t xml:space="preserve"> Lambda-cyhalothrin Released at 180minutes</w:t>
      </w:r>
    </w:p>
    <w:tbl>
      <w:tblPr>
        <w:tblStyle w:val="TableGrid"/>
        <w:tblW w:w="0" w:type="auto"/>
        <w:tblLook w:val="04A0" w:firstRow="1" w:lastRow="0" w:firstColumn="1" w:lastColumn="0" w:noHBand="0" w:noVBand="1"/>
      </w:tblPr>
      <w:tblGrid>
        <w:gridCol w:w="6490"/>
      </w:tblGrid>
      <w:tr w:rsidR="00775175" w:rsidTr="00ED1F89">
        <w:trPr>
          <w:trHeight w:val="2858"/>
        </w:trPr>
        <w:tc>
          <w:tcPr>
            <w:tcW w:w="6374" w:type="dxa"/>
          </w:tcPr>
          <w:p w:rsidR="00775175" w:rsidRDefault="00775175" w:rsidP="00ED1F89">
            <w:pPr>
              <w:spacing w:before="120" w:after="120" w:line="259" w:lineRule="auto"/>
            </w:pPr>
            <w:r>
              <w:rPr>
                <w:noProof/>
                <w:lang w:val="en-GB" w:eastAsia="en-GB"/>
              </w:rPr>
              <w:drawing>
                <wp:inline distT="0" distB="0" distL="0" distR="0" wp14:anchorId="393787F8" wp14:editId="22681A06">
                  <wp:extent cx="3984274" cy="181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84274" cy="1814400"/>
                          </a:xfrm>
                          <a:prstGeom prst="rect">
                            <a:avLst/>
                          </a:prstGeom>
                        </pic:spPr>
                      </pic:pic>
                    </a:graphicData>
                  </a:graphic>
                </wp:inline>
              </w:drawing>
            </w:r>
          </w:p>
        </w:tc>
      </w:tr>
    </w:tbl>
    <w:p w:rsidR="00775175" w:rsidRPr="007F0F81" w:rsidRDefault="00775175" w:rsidP="00775175">
      <w:pPr>
        <w:spacing w:before="60" w:after="120" w:line="259" w:lineRule="auto"/>
        <w:jc w:val="both"/>
        <w:rPr>
          <w:sz w:val="16"/>
          <w:szCs w:val="16"/>
        </w:rPr>
      </w:pPr>
      <w:r w:rsidRPr="007F0F81">
        <w:rPr>
          <w:sz w:val="16"/>
          <w:szCs w:val="16"/>
        </w:rPr>
        <w:t>References: Baes M.</w:t>
      </w:r>
      <w:r>
        <w:rPr>
          <w:sz w:val="16"/>
          <w:szCs w:val="16"/>
        </w:rPr>
        <w:t xml:space="preserve">, (2019), </w:t>
      </w:r>
      <w:r w:rsidRPr="007F0F81">
        <w:rPr>
          <w:sz w:val="16"/>
          <w:szCs w:val="16"/>
        </w:rPr>
        <w:t>Jutsum P.</w:t>
      </w:r>
      <w:r>
        <w:rPr>
          <w:sz w:val="16"/>
          <w:szCs w:val="16"/>
        </w:rPr>
        <w:t xml:space="preserve">, (2019), </w:t>
      </w:r>
      <w:r w:rsidRPr="007F0F81">
        <w:rPr>
          <w:sz w:val="16"/>
          <w:szCs w:val="16"/>
        </w:rPr>
        <w:t>Simonin C.</w:t>
      </w:r>
      <w:r>
        <w:rPr>
          <w:sz w:val="16"/>
          <w:szCs w:val="16"/>
        </w:rPr>
        <w:t>, (2019a, b)</w:t>
      </w:r>
    </w:p>
    <w:p w:rsidR="00FB27A6" w:rsidRDefault="00FB27A6">
      <w:pPr>
        <w:spacing w:line="240" w:lineRule="auto"/>
      </w:pPr>
      <w:r>
        <w:br w:type="page"/>
      </w:r>
    </w:p>
    <w:p w:rsidR="00FB27A6" w:rsidRPr="00353C71" w:rsidRDefault="00FB27A6" w:rsidP="00FB27A6">
      <w:pPr>
        <w:spacing w:after="120"/>
        <w:jc w:val="both"/>
        <w:rPr>
          <w:b/>
        </w:rPr>
      </w:pPr>
      <w:r>
        <w:rPr>
          <w:b/>
        </w:rPr>
        <w:lastRenderedPageBreak/>
        <w:t xml:space="preserve">Fig 4. Release-rate at 180minutes </w:t>
      </w:r>
      <w:r w:rsidRPr="00606794">
        <w:rPr>
          <w:b/>
          <w:i/>
        </w:rPr>
        <w:t>cf.</w:t>
      </w:r>
      <w:r>
        <w:rPr>
          <w:b/>
        </w:rPr>
        <w:t xml:space="preserve"> Total Lambda-cyhalothrin Content</w:t>
      </w:r>
    </w:p>
    <w:tbl>
      <w:tblPr>
        <w:tblStyle w:val="TableGrid"/>
        <w:tblW w:w="0" w:type="auto"/>
        <w:tblLook w:val="04A0" w:firstRow="1" w:lastRow="0" w:firstColumn="1" w:lastColumn="0" w:noHBand="0" w:noVBand="1"/>
      </w:tblPr>
      <w:tblGrid>
        <w:gridCol w:w="6829"/>
      </w:tblGrid>
      <w:tr w:rsidR="00FB27A6" w:rsidTr="00ED1F89">
        <w:trPr>
          <w:trHeight w:val="2967"/>
        </w:trPr>
        <w:tc>
          <w:tcPr>
            <w:tcW w:w="6374" w:type="dxa"/>
          </w:tcPr>
          <w:p w:rsidR="00FB27A6" w:rsidRDefault="00FB27A6" w:rsidP="00ED1F89">
            <w:pPr>
              <w:spacing w:before="120" w:after="120" w:line="259" w:lineRule="auto"/>
            </w:pPr>
            <w:r>
              <w:rPr>
                <w:noProof/>
                <w:lang w:val="en-GB" w:eastAsia="en-GB"/>
              </w:rPr>
              <w:drawing>
                <wp:inline distT="0" distB="0" distL="0" distR="0" wp14:anchorId="7F2B0D9B" wp14:editId="31B5E679">
                  <wp:extent cx="4199496" cy="1882800"/>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99496" cy="1882800"/>
                          </a:xfrm>
                          <a:prstGeom prst="rect">
                            <a:avLst/>
                          </a:prstGeom>
                        </pic:spPr>
                      </pic:pic>
                    </a:graphicData>
                  </a:graphic>
                </wp:inline>
              </w:drawing>
            </w:r>
          </w:p>
        </w:tc>
      </w:tr>
    </w:tbl>
    <w:p w:rsidR="00FB27A6" w:rsidRPr="007F0F81" w:rsidRDefault="00FB27A6" w:rsidP="00FB27A6">
      <w:pPr>
        <w:spacing w:before="60" w:after="120" w:line="259" w:lineRule="auto"/>
        <w:jc w:val="both"/>
        <w:rPr>
          <w:sz w:val="16"/>
          <w:szCs w:val="16"/>
        </w:rPr>
      </w:pPr>
      <w:r w:rsidRPr="007F0F81">
        <w:rPr>
          <w:sz w:val="16"/>
          <w:szCs w:val="16"/>
        </w:rPr>
        <w:t>References: Baes M.</w:t>
      </w:r>
      <w:r>
        <w:rPr>
          <w:sz w:val="16"/>
          <w:szCs w:val="16"/>
        </w:rPr>
        <w:t xml:space="preserve">, (2019), </w:t>
      </w:r>
      <w:r w:rsidRPr="007F0F81">
        <w:rPr>
          <w:sz w:val="16"/>
          <w:szCs w:val="16"/>
        </w:rPr>
        <w:t>Jutsum P.</w:t>
      </w:r>
      <w:r>
        <w:rPr>
          <w:sz w:val="16"/>
          <w:szCs w:val="16"/>
        </w:rPr>
        <w:t xml:space="preserve">, (2019), </w:t>
      </w:r>
      <w:r w:rsidRPr="007F0F81">
        <w:rPr>
          <w:sz w:val="16"/>
          <w:szCs w:val="16"/>
        </w:rPr>
        <w:t>Simonin C.</w:t>
      </w:r>
      <w:r>
        <w:rPr>
          <w:sz w:val="16"/>
          <w:szCs w:val="16"/>
        </w:rPr>
        <w:t>, (2019a, b)</w:t>
      </w:r>
    </w:p>
    <w:p w:rsidR="00FB27A6" w:rsidRDefault="00FB27A6" w:rsidP="00FB27A6">
      <w:pPr>
        <w:spacing w:after="120" w:line="259" w:lineRule="auto"/>
        <w:jc w:val="both"/>
        <w:rPr>
          <w:b/>
          <w:sz w:val="22"/>
          <w:szCs w:val="22"/>
        </w:rPr>
      </w:pPr>
    </w:p>
    <w:p w:rsidR="00FB27A6" w:rsidRPr="0095597F" w:rsidRDefault="00FB27A6" w:rsidP="00FB27A6">
      <w:pPr>
        <w:spacing w:after="120" w:line="259" w:lineRule="auto"/>
        <w:jc w:val="both"/>
        <w:rPr>
          <w:b/>
          <w:sz w:val="22"/>
          <w:szCs w:val="22"/>
        </w:rPr>
      </w:pPr>
      <w:r w:rsidRPr="00E406F2">
        <w:rPr>
          <w:sz w:val="22"/>
          <w:szCs w:val="22"/>
        </w:rPr>
        <w:t>The key conclusions fro</w:t>
      </w:r>
      <w:r>
        <w:rPr>
          <w:sz w:val="22"/>
          <w:szCs w:val="22"/>
        </w:rPr>
        <w:t>m the round-robin study are</w:t>
      </w:r>
      <w:r w:rsidRPr="00E406F2">
        <w:rPr>
          <w:sz w:val="22"/>
          <w:szCs w:val="22"/>
        </w:rPr>
        <w:t>:</w:t>
      </w:r>
    </w:p>
    <w:p w:rsidR="00FB27A6" w:rsidRDefault="00FB27A6" w:rsidP="00FB27A6">
      <w:pPr>
        <w:pStyle w:val="ListParagraph"/>
        <w:numPr>
          <w:ilvl w:val="0"/>
          <w:numId w:val="6"/>
        </w:numPr>
        <w:jc w:val="both"/>
        <w:rPr>
          <w:sz w:val="22"/>
          <w:szCs w:val="22"/>
        </w:rPr>
      </w:pPr>
      <w:r>
        <w:rPr>
          <w:sz w:val="22"/>
          <w:szCs w:val="22"/>
        </w:rPr>
        <w:t>At the 15minute assessment point: several of the batches could be outside the specification range limits but it is unclear because it is laboratory dependent.</w:t>
      </w:r>
    </w:p>
    <w:p w:rsidR="00FB27A6" w:rsidRDefault="00FB27A6" w:rsidP="00FB27A6">
      <w:pPr>
        <w:pStyle w:val="ListParagraph"/>
        <w:jc w:val="both"/>
        <w:rPr>
          <w:sz w:val="22"/>
          <w:szCs w:val="22"/>
        </w:rPr>
      </w:pPr>
    </w:p>
    <w:p w:rsidR="00FB27A6" w:rsidRDefault="00FB27A6" w:rsidP="00FB27A6">
      <w:pPr>
        <w:pStyle w:val="ListParagraph"/>
        <w:numPr>
          <w:ilvl w:val="0"/>
          <w:numId w:val="6"/>
        </w:numPr>
        <w:jc w:val="both"/>
        <w:rPr>
          <w:sz w:val="22"/>
          <w:szCs w:val="22"/>
        </w:rPr>
      </w:pPr>
      <w:r>
        <w:rPr>
          <w:sz w:val="22"/>
          <w:szCs w:val="22"/>
        </w:rPr>
        <w:t>At the 180minutes assessment point: all ten batches are outside the specification range limits</w:t>
      </w:r>
    </w:p>
    <w:p w:rsidR="00FB27A6" w:rsidRDefault="00FB27A6" w:rsidP="00FB27A6">
      <w:pPr>
        <w:jc w:val="both"/>
        <w:rPr>
          <w:sz w:val="22"/>
          <w:szCs w:val="22"/>
        </w:rPr>
      </w:pPr>
    </w:p>
    <w:p w:rsidR="00FB27A6" w:rsidRDefault="00FB27A6" w:rsidP="00FB27A6">
      <w:pPr>
        <w:jc w:val="both"/>
        <w:rPr>
          <w:sz w:val="22"/>
          <w:szCs w:val="22"/>
        </w:rPr>
      </w:pPr>
      <w:r>
        <w:rPr>
          <w:sz w:val="22"/>
          <w:szCs w:val="22"/>
        </w:rPr>
        <w:t>Finally, it appears that when release rate data is calculated against the total lambda-cyhalothrin content of each formulation, that the variability of the data across the four laboratories is reduced compared to calculating against the amount released after the 180minute assessment point, which is of course subject to its own analytical variability. This is the same conclusion that was reached for the pirimiphos-methyl capsule suspension specification</w:t>
      </w:r>
      <w:r>
        <w:rPr>
          <w:rStyle w:val="FootnoteReference"/>
          <w:sz w:val="22"/>
          <w:szCs w:val="22"/>
        </w:rPr>
        <w:footnoteReference w:id="1"/>
      </w:r>
      <w:r>
        <w:rPr>
          <w:sz w:val="22"/>
          <w:szCs w:val="22"/>
        </w:rPr>
        <w:t xml:space="preserve"> where the release rate is calculated with reference to the total pirimiphos-methyl content of the formulation.</w:t>
      </w:r>
    </w:p>
    <w:p w:rsidR="00FB27A6" w:rsidRDefault="00FB27A6" w:rsidP="00FB27A6">
      <w:pPr>
        <w:jc w:val="both"/>
        <w:rPr>
          <w:sz w:val="22"/>
          <w:szCs w:val="22"/>
        </w:rPr>
      </w:pPr>
    </w:p>
    <w:p w:rsidR="00FB27A6" w:rsidRDefault="00FB27A6" w:rsidP="00FB27A6">
      <w:pPr>
        <w:jc w:val="both"/>
        <w:rPr>
          <w:sz w:val="22"/>
          <w:szCs w:val="22"/>
        </w:rPr>
      </w:pPr>
      <w:r>
        <w:rPr>
          <w:sz w:val="22"/>
          <w:szCs w:val="22"/>
        </w:rPr>
        <w:t>The release rate data for the round-robin was re-calculated with reference to the total lambda-cyhalothrin content of each formulation and is summarised graphically in Fig 5.</w:t>
      </w:r>
    </w:p>
    <w:p w:rsidR="00763CD1" w:rsidRDefault="00763CD1">
      <w:pPr>
        <w:spacing w:line="240" w:lineRule="auto"/>
      </w:pPr>
      <w:r>
        <w:br w:type="page"/>
      </w:r>
    </w:p>
    <w:p w:rsidR="00763CD1" w:rsidRPr="00353C71" w:rsidRDefault="00763CD1" w:rsidP="00763CD1">
      <w:pPr>
        <w:spacing w:after="120"/>
        <w:jc w:val="both"/>
        <w:rPr>
          <w:b/>
        </w:rPr>
      </w:pPr>
      <w:r>
        <w:rPr>
          <w:b/>
        </w:rPr>
        <w:lastRenderedPageBreak/>
        <w:t>Fig 5</w:t>
      </w:r>
      <w:r w:rsidRPr="00881A52">
        <w:rPr>
          <w:b/>
        </w:rPr>
        <w:t xml:space="preserve">. Release Rate at 15minutes </w:t>
      </w:r>
      <w:r w:rsidRPr="00881A52">
        <w:rPr>
          <w:b/>
          <w:i/>
        </w:rPr>
        <w:t>cf.</w:t>
      </w:r>
      <w:r w:rsidRPr="00881A52">
        <w:rPr>
          <w:b/>
        </w:rPr>
        <w:t xml:space="preserve"> Total Lambda-cyhalothrin Content</w:t>
      </w:r>
    </w:p>
    <w:tbl>
      <w:tblPr>
        <w:tblStyle w:val="TableGrid"/>
        <w:tblW w:w="0" w:type="auto"/>
        <w:tblLook w:val="04A0" w:firstRow="1" w:lastRow="0" w:firstColumn="1" w:lastColumn="0" w:noHBand="0" w:noVBand="1"/>
      </w:tblPr>
      <w:tblGrid>
        <w:gridCol w:w="6756"/>
      </w:tblGrid>
      <w:tr w:rsidR="00763CD1" w:rsidTr="00ED1F89">
        <w:trPr>
          <w:trHeight w:val="2982"/>
        </w:trPr>
        <w:tc>
          <w:tcPr>
            <w:tcW w:w="6374" w:type="dxa"/>
          </w:tcPr>
          <w:p w:rsidR="00763CD1" w:rsidRDefault="00763CD1" w:rsidP="00ED1F89">
            <w:pPr>
              <w:spacing w:before="120" w:after="120" w:line="259" w:lineRule="auto"/>
            </w:pPr>
            <w:r>
              <w:rPr>
                <w:noProof/>
                <w:lang w:val="en-GB" w:eastAsia="en-GB"/>
              </w:rPr>
              <w:drawing>
                <wp:inline distT="0" distB="0" distL="0" distR="0" wp14:anchorId="0E0E3C1F" wp14:editId="5325202A">
                  <wp:extent cx="4147521" cy="1893600"/>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47521" cy="1893600"/>
                          </a:xfrm>
                          <a:prstGeom prst="rect">
                            <a:avLst/>
                          </a:prstGeom>
                        </pic:spPr>
                      </pic:pic>
                    </a:graphicData>
                  </a:graphic>
                </wp:inline>
              </w:drawing>
            </w:r>
          </w:p>
        </w:tc>
      </w:tr>
    </w:tbl>
    <w:p w:rsidR="00763CD1" w:rsidRPr="007F0F81" w:rsidRDefault="00763CD1" w:rsidP="00763CD1">
      <w:pPr>
        <w:spacing w:before="60" w:after="120" w:line="259" w:lineRule="auto"/>
        <w:jc w:val="both"/>
        <w:rPr>
          <w:sz w:val="16"/>
          <w:szCs w:val="16"/>
        </w:rPr>
      </w:pPr>
      <w:r w:rsidRPr="007F0F81">
        <w:rPr>
          <w:sz w:val="16"/>
          <w:szCs w:val="16"/>
        </w:rPr>
        <w:t>References: Baes M.</w:t>
      </w:r>
      <w:r>
        <w:rPr>
          <w:sz w:val="16"/>
          <w:szCs w:val="16"/>
        </w:rPr>
        <w:t xml:space="preserve">, (2019), </w:t>
      </w:r>
      <w:r w:rsidRPr="007F0F81">
        <w:rPr>
          <w:sz w:val="16"/>
          <w:szCs w:val="16"/>
        </w:rPr>
        <w:t>Jutsum P.</w:t>
      </w:r>
      <w:r>
        <w:rPr>
          <w:sz w:val="16"/>
          <w:szCs w:val="16"/>
        </w:rPr>
        <w:t xml:space="preserve">, (2019), </w:t>
      </w:r>
      <w:r w:rsidRPr="007F0F81">
        <w:rPr>
          <w:sz w:val="16"/>
          <w:szCs w:val="16"/>
        </w:rPr>
        <w:t>Simonin C.</w:t>
      </w:r>
      <w:r>
        <w:rPr>
          <w:sz w:val="16"/>
          <w:szCs w:val="16"/>
        </w:rPr>
        <w:t>, (2019a, b)</w:t>
      </w:r>
    </w:p>
    <w:p w:rsidR="00763CD1" w:rsidRDefault="00763CD1" w:rsidP="00763CD1">
      <w:pPr>
        <w:spacing w:after="160" w:line="259" w:lineRule="auto"/>
        <w:rPr>
          <w:b/>
          <w:sz w:val="22"/>
          <w:szCs w:val="22"/>
        </w:rPr>
      </w:pPr>
    </w:p>
    <w:p w:rsidR="00763CD1" w:rsidRPr="00C13B8F" w:rsidRDefault="00763CD1" w:rsidP="00763CD1">
      <w:pPr>
        <w:spacing w:after="120"/>
        <w:jc w:val="both"/>
        <w:rPr>
          <w:b/>
        </w:rPr>
      </w:pPr>
      <w:r w:rsidRPr="004D7A81">
        <w:rPr>
          <w:b/>
          <w:sz w:val="22"/>
          <w:szCs w:val="22"/>
        </w:rPr>
        <w:t>Biological Efficacy Data</w:t>
      </w:r>
      <w:r>
        <w:rPr>
          <w:b/>
          <w:sz w:val="22"/>
          <w:szCs w:val="22"/>
        </w:rPr>
        <w:t xml:space="preserve"> (2018 and 2019)</w:t>
      </w:r>
    </w:p>
    <w:p w:rsidR="00763CD1" w:rsidRDefault="00763CD1" w:rsidP="00763CD1">
      <w:pPr>
        <w:jc w:val="both"/>
        <w:rPr>
          <w:sz w:val="22"/>
          <w:szCs w:val="22"/>
        </w:rPr>
      </w:pPr>
      <w:r>
        <w:rPr>
          <w:sz w:val="22"/>
          <w:szCs w:val="22"/>
        </w:rPr>
        <w:t>Biological performance of five of the production batches, selected randomly, was assessed under the standard two protocols; a knock-down test using German cockroaches (</w:t>
      </w:r>
      <w:r w:rsidRPr="00C467C0">
        <w:rPr>
          <w:i/>
          <w:sz w:val="22"/>
          <w:szCs w:val="22"/>
        </w:rPr>
        <w:t>Blattella germanica</w:t>
      </w:r>
      <w:r>
        <w:rPr>
          <w:sz w:val="22"/>
          <w:szCs w:val="22"/>
        </w:rPr>
        <w:t>) exposed to dilute spray dispersions of the production samples and a residual efficacy test where mosquitoes (</w:t>
      </w:r>
      <w:r w:rsidRPr="00C467C0">
        <w:rPr>
          <w:i/>
          <w:sz w:val="22"/>
          <w:szCs w:val="22"/>
        </w:rPr>
        <w:t>Ades aegypti</w:t>
      </w:r>
      <w:r>
        <w:rPr>
          <w:sz w:val="22"/>
          <w:szCs w:val="22"/>
        </w:rPr>
        <w:t>) were exposed to a substrate treated again with the dilute dispersions. Assessment of knock-down and mortality were then made at different time points and graphical summaries are given in Figs 6 and 7.</w:t>
      </w:r>
    </w:p>
    <w:p w:rsidR="00763CD1" w:rsidRDefault="00763CD1" w:rsidP="00763CD1">
      <w:pPr>
        <w:jc w:val="both"/>
        <w:rPr>
          <w:sz w:val="22"/>
          <w:szCs w:val="22"/>
        </w:rPr>
      </w:pPr>
    </w:p>
    <w:p w:rsidR="00763CD1" w:rsidRDefault="00763CD1" w:rsidP="00763CD1">
      <w:pPr>
        <w:jc w:val="both"/>
        <w:rPr>
          <w:sz w:val="22"/>
          <w:szCs w:val="22"/>
        </w:rPr>
      </w:pPr>
      <w:r>
        <w:rPr>
          <w:sz w:val="22"/>
          <w:szCs w:val="22"/>
        </w:rPr>
        <w:t>Conclusions from the two tests demonstrated that for the five production batches:</w:t>
      </w:r>
    </w:p>
    <w:p w:rsidR="00763CD1" w:rsidRDefault="00763CD1" w:rsidP="00763CD1">
      <w:pPr>
        <w:jc w:val="both"/>
        <w:rPr>
          <w:sz w:val="22"/>
          <w:szCs w:val="22"/>
        </w:rPr>
      </w:pPr>
    </w:p>
    <w:p w:rsidR="00763CD1" w:rsidRDefault="00763CD1" w:rsidP="00763CD1">
      <w:pPr>
        <w:pStyle w:val="ListParagraph"/>
        <w:numPr>
          <w:ilvl w:val="0"/>
          <w:numId w:val="4"/>
        </w:numPr>
        <w:jc w:val="both"/>
        <w:rPr>
          <w:sz w:val="22"/>
          <w:szCs w:val="22"/>
        </w:rPr>
      </w:pPr>
      <w:r>
        <w:rPr>
          <w:sz w:val="22"/>
          <w:szCs w:val="22"/>
        </w:rPr>
        <w:t>Knock-down time was not significantly different to the standard sample; under the conditions of the test the KD</w:t>
      </w:r>
      <w:r w:rsidRPr="00313773">
        <w:rPr>
          <w:sz w:val="22"/>
          <w:szCs w:val="22"/>
          <w:vertAlign w:val="subscript"/>
        </w:rPr>
        <w:t>50</w:t>
      </w:r>
      <w:r>
        <w:rPr>
          <w:sz w:val="22"/>
          <w:szCs w:val="22"/>
        </w:rPr>
        <w:t>, the time taken to knock-down (immobilize) 50% of the cockroaches, was within the expected range</w:t>
      </w:r>
    </w:p>
    <w:p w:rsidR="00763CD1" w:rsidRDefault="00763CD1" w:rsidP="00763CD1">
      <w:pPr>
        <w:pStyle w:val="ListParagraph"/>
        <w:jc w:val="both"/>
        <w:rPr>
          <w:sz w:val="22"/>
          <w:szCs w:val="22"/>
        </w:rPr>
      </w:pPr>
    </w:p>
    <w:p w:rsidR="00763CD1" w:rsidRDefault="00763CD1" w:rsidP="00763CD1">
      <w:pPr>
        <w:pStyle w:val="ListParagraph"/>
        <w:numPr>
          <w:ilvl w:val="0"/>
          <w:numId w:val="4"/>
        </w:numPr>
        <w:jc w:val="both"/>
        <w:rPr>
          <w:sz w:val="22"/>
          <w:szCs w:val="22"/>
        </w:rPr>
      </w:pPr>
      <w:r w:rsidRPr="00313773">
        <w:rPr>
          <w:sz w:val="22"/>
          <w:szCs w:val="22"/>
        </w:rPr>
        <w:t xml:space="preserve">All batches provided 100% control of </w:t>
      </w:r>
      <w:r w:rsidRPr="0095597F">
        <w:rPr>
          <w:i/>
          <w:sz w:val="22"/>
          <w:szCs w:val="22"/>
        </w:rPr>
        <w:t>Aedes aegypti</w:t>
      </w:r>
      <w:r w:rsidRPr="00313773">
        <w:rPr>
          <w:sz w:val="22"/>
          <w:szCs w:val="22"/>
        </w:rPr>
        <w:t xml:space="preserve"> adult female mosquitoes for a minimum of 12 weeks post application to an</w:t>
      </w:r>
      <w:r>
        <w:rPr>
          <w:sz w:val="22"/>
          <w:szCs w:val="22"/>
        </w:rPr>
        <w:t xml:space="preserve"> unglazed porous ceramic substrate</w:t>
      </w:r>
    </w:p>
    <w:p w:rsidR="00763CD1" w:rsidRPr="00313773" w:rsidRDefault="00763CD1" w:rsidP="00763CD1">
      <w:pPr>
        <w:pStyle w:val="ListParagraph"/>
        <w:rPr>
          <w:sz w:val="22"/>
          <w:szCs w:val="22"/>
        </w:rPr>
      </w:pPr>
    </w:p>
    <w:p w:rsidR="00763CD1" w:rsidRDefault="00763CD1" w:rsidP="00763CD1">
      <w:pPr>
        <w:pStyle w:val="ListParagraph"/>
        <w:numPr>
          <w:ilvl w:val="0"/>
          <w:numId w:val="4"/>
        </w:numPr>
        <w:jc w:val="both"/>
        <w:rPr>
          <w:sz w:val="22"/>
          <w:szCs w:val="22"/>
        </w:rPr>
      </w:pPr>
      <w:r>
        <w:rPr>
          <w:sz w:val="22"/>
          <w:szCs w:val="22"/>
        </w:rPr>
        <w:t>No significant differences were observed in the performance of the five batches during the 12 week study.</w:t>
      </w:r>
    </w:p>
    <w:p w:rsidR="00763CD1" w:rsidRPr="00BB6D48" w:rsidRDefault="00763CD1" w:rsidP="00763CD1">
      <w:pPr>
        <w:pStyle w:val="ListParagraph"/>
        <w:rPr>
          <w:sz w:val="22"/>
          <w:szCs w:val="22"/>
        </w:rPr>
      </w:pPr>
    </w:p>
    <w:p w:rsidR="00763CD1" w:rsidRPr="00313773" w:rsidRDefault="00763CD1" w:rsidP="00763CD1">
      <w:pPr>
        <w:pStyle w:val="ListParagraph"/>
        <w:numPr>
          <w:ilvl w:val="0"/>
          <w:numId w:val="4"/>
        </w:numPr>
        <w:jc w:val="both"/>
        <w:rPr>
          <w:sz w:val="22"/>
          <w:szCs w:val="22"/>
        </w:rPr>
      </w:pPr>
      <w:r>
        <w:rPr>
          <w:sz w:val="22"/>
          <w:szCs w:val="22"/>
        </w:rPr>
        <w:t>All batches provided knockdown and residual performance within the ranges historically observed with ICON 10CS under the noted testing protocols.</w:t>
      </w:r>
    </w:p>
    <w:p w:rsidR="00763CD1" w:rsidRDefault="00763CD1">
      <w:pPr>
        <w:spacing w:line="240" w:lineRule="auto"/>
      </w:pPr>
      <w:r>
        <w:br w:type="page"/>
      </w:r>
    </w:p>
    <w:p w:rsidR="00763CD1" w:rsidRPr="00353C71" w:rsidRDefault="00763CD1" w:rsidP="00763CD1">
      <w:pPr>
        <w:spacing w:after="120"/>
        <w:jc w:val="both"/>
        <w:rPr>
          <w:b/>
        </w:rPr>
      </w:pPr>
      <w:r>
        <w:rPr>
          <w:b/>
        </w:rPr>
        <w:lastRenderedPageBreak/>
        <w:t>Fig 6</w:t>
      </w:r>
      <w:r w:rsidRPr="00881A52">
        <w:rPr>
          <w:b/>
        </w:rPr>
        <w:t xml:space="preserve">. </w:t>
      </w:r>
      <w:r>
        <w:rPr>
          <w:b/>
        </w:rPr>
        <w:t>Knock-down of German Cockroaches at Minutes after Application</w:t>
      </w:r>
    </w:p>
    <w:tbl>
      <w:tblPr>
        <w:tblStyle w:val="TableGrid"/>
        <w:tblW w:w="9493" w:type="dxa"/>
        <w:tblLook w:val="04A0" w:firstRow="1" w:lastRow="0" w:firstColumn="1" w:lastColumn="0" w:noHBand="0" w:noVBand="1"/>
      </w:tblPr>
      <w:tblGrid>
        <w:gridCol w:w="9576"/>
      </w:tblGrid>
      <w:tr w:rsidR="00763CD1" w:rsidTr="00ED1F89">
        <w:trPr>
          <w:trHeight w:val="2777"/>
        </w:trPr>
        <w:tc>
          <w:tcPr>
            <w:tcW w:w="9493" w:type="dxa"/>
          </w:tcPr>
          <w:p w:rsidR="00763CD1" w:rsidRDefault="00763CD1" w:rsidP="00ED1F89">
            <w:pPr>
              <w:spacing w:before="120" w:after="120" w:line="259" w:lineRule="auto"/>
            </w:pPr>
            <w:r w:rsidRPr="00410459">
              <w:rPr>
                <w:noProof/>
                <w:lang w:val="en-GB" w:eastAsia="en-GB"/>
              </w:rPr>
              <w:drawing>
                <wp:inline distT="0" distB="0" distL="0" distR="0" wp14:anchorId="537471FB" wp14:editId="354589F1">
                  <wp:extent cx="5943600" cy="2338705"/>
                  <wp:effectExtent l="0" t="0" r="0" b="4445"/>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3"/>
                          <a:stretch>
                            <a:fillRect/>
                          </a:stretch>
                        </pic:blipFill>
                        <pic:spPr>
                          <a:xfrm>
                            <a:off x="0" y="0"/>
                            <a:ext cx="5943600" cy="2338705"/>
                          </a:xfrm>
                          <a:prstGeom prst="rect">
                            <a:avLst/>
                          </a:prstGeom>
                        </pic:spPr>
                      </pic:pic>
                    </a:graphicData>
                  </a:graphic>
                </wp:inline>
              </w:drawing>
            </w:r>
          </w:p>
        </w:tc>
      </w:tr>
    </w:tbl>
    <w:p w:rsidR="00763CD1" w:rsidRPr="007F0F81" w:rsidRDefault="00763CD1" w:rsidP="00763CD1">
      <w:pPr>
        <w:spacing w:before="60" w:after="120" w:line="259" w:lineRule="auto"/>
        <w:jc w:val="both"/>
        <w:rPr>
          <w:sz w:val="16"/>
          <w:szCs w:val="16"/>
        </w:rPr>
      </w:pPr>
      <w:r w:rsidRPr="007F0F81">
        <w:rPr>
          <w:sz w:val="16"/>
          <w:szCs w:val="16"/>
        </w:rPr>
        <w:t xml:space="preserve">References: </w:t>
      </w:r>
      <w:r>
        <w:rPr>
          <w:sz w:val="16"/>
          <w:szCs w:val="16"/>
        </w:rPr>
        <w:t xml:space="preserve">Hoppe M., Hofer D and </w:t>
      </w:r>
      <w:r w:rsidRPr="0075506A">
        <w:rPr>
          <w:sz w:val="16"/>
          <w:szCs w:val="16"/>
        </w:rPr>
        <w:t>Spycher C.</w:t>
      </w:r>
      <w:r>
        <w:rPr>
          <w:sz w:val="16"/>
          <w:szCs w:val="16"/>
        </w:rPr>
        <w:t xml:space="preserve"> (2018)</w:t>
      </w:r>
    </w:p>
    <w:p w:rsidR="00763CD1" w:rsidRDefault="00763CD1" w:rsidP="00763CD1">
      <w:pPr>
        <w:jc w:val="both"/>
        <w:rPr>
          <w:sz w:val="22"/>
          <w:szCs w:val="22"/>
        </w:rPr>
      </w:pPr>
    </w:p>
    <w:p w:rsidR="00763CD1" w:rsidRDefault="00763CD1" w:rsidP="00763CD1">
      <w:pPr>
        <w:jc w:val="both"/>
        <w:rPr>
          <w:sz w:val="22"/>
          <w:szCs w:val="22"/>
        </w:rPr>
      </w:pPr>
    </w:p>
    <w:p w:rsidR="00763CD1" w:rsidRPr="00353C71" w:rsidRDefault="00763CD1" w:rsidP="00763CD1">
      <w:pPr>
        <w:spacing w:after="120"/>
        <w:jc w:val="both"/>
        <w:rPr>
          <w:b/>
        </w:rPr>
      </w:pPr>
      <w:r>
        <w:rPr>
          <w:b/>
        </w:rPr>
        <w:t>Fig 7</w:t>
      </w:r>
      <w:r w:rsidRPr="00881A52">
        <w:rPr>
          <w:b/>
        </w:rPr>
        <w:t xml:space="preserve">. </w:t>
      </w:r>
      <w:r>
        <w:rPr>
          <w:b/>
        </w:rPr>
        <w:t>Knock-down and Residual Activity of Aedes aegypti at Time after Application</w:t>
      </w:r>
    </w:p>
    <w:tbl>
      <w:tblPr>
        <w:tblStyle w:val="TableGrid"/>
        <w:tblW w:w="9634" w:type="dxa"/>
        <w:tblLook w:val="04A0" w:firstRow="1" w:lastRow="0" w:firstColumn="1" w:lastColumn="0" w:noHBand="0" w:noVBand="1"/>
      </w:tblPr>
      <w:tblGrid>
        <w:gridCol w:w="9634"/>
      </w:tblGrid>
      <w:tr w:rsidR="00763CD1" w:rsidTr="00ED1F89">
        <w:trPr>
          <w:trHeight w:val="2352"/>
        </w:trPr>
        <w:tc>
          <w:tcPr>
            <w:tcW w:w="9634" w:type="dxa"/>
          </w:tcPr>
          <w:p w:rsidR="00763CD1" w:rsidRDefault="00763CD1" w:rsidP="00ED1F89">
            <w:pPr>
              <w:spacing w:before="120" w:after="120" w:line="259" w:lineRule="auto"/>
            </w:pPr>
            <w:r w:rsidRPr="00916126">
              <w:rPr>
                <w:noProof/>
                <w:lang w:val="en-GB" w:eastAsia="en-GB"/>
              </w:rPr>
              <w:drawing>
                <wp:inline distT="0" distB="0" distL="0" distR="0" wp14:anchorId="47C9C1A2" wp14:editId="221650F3">
                  <wp:extent cx="5943600" cy="1259840"/>
                  <wp:effectExtent l="0" t="0" r="0" b="0"/>
                  <wp:docPr id="8"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259840"/>
                          </a:xfrm>
                          <a:prstGeom prst="rect">
                            <a:avLst/>
                          </a:prstGeom>
                          <a:noFill/>
                          <a:ln>
                            <a:noFill/>
                          </a:ln>
                        </pic:spPr>
                      </pic:pic>
                    </a:graphicData>
                  </a:graphic>
                </wp:inline>
              </w:drawing>
            </w:r>
          </w:p>
        </w:tc>
      </w:tr>
    </w:tbl>
    <w:p w:rsidR="00763CD1" w:rsidRPr="007F0F81" w:rsidRDefault="00763CD1" w:rsidP="00763CD1">
      <w:pPr>
        <w:spacing w:before="60" w:after="120" w:line="259" w:lineRule="auto"/>
        <w:jc w:val="both"/>
        <w:rPr>
          <w:sz w:val="16"/>
          <w:szCs w:val="16"/>
        </w:rPr>
      </w:pPr>
      <w:r w:rsidRPr="007F0F81">
        <w:rPr>
          <w:sz w:val="16"/>
          <w:szCs w:val="16"/>
        </w:rPr>
        <w:t xml:space="preserve">References: </w:t>
      </w:r>
      <w:r>
        <w:rPr>
          <w:sz w:val="16"/>
          <w:szCs w:val="16"/>
        </w:rPr>
        <w:t xml:space="preserve">Hoppe M., Hofer D and </w:t>
      </w:r>
      <w:r w:rsidRPr="0075506A">
        <w:rPr>
          <w:sz w:val="16"/>
          <w:szCs w:val="16"/>
        </w:rPr>
        <w:t>Spycher C.</w:t>
      </w:r>
      <w:r>
        <w:rPr>
          <w:sz w:val="16"/>
          <w:szCs w:val="16"/>
        </w:rPr>
        <w:t xml:space="preserve"> (2019)</w:t>
      </w:r>
    </w:p>
    <w:p w:rsidR="00763CD1" w:rsidRDefault="00763CD1" w:rsidP="00763CD1">
      <w:pPr>
        <w:jc w:val="both"/>
        <w:rPr>
          <w:sz w:val="22"/>
          <w:szCs w:val="22"/>
        </w:rPr>
      </w:pPr>
    </w:p>
    <w:p w:rsidR="00763CD1" w:rsidRDefault="00763CD1" w:rsidP="00763CD1">
      <w:pPr>
        <w:jc w:val="both"/>
        <w:rPr>
          <w:sz w:val="22"/>
          <w:szCs w:val="22"/>
        </w:rPr>
      </w:pPr>
    </w:p>
    <w:p w:rsidR="00763CD1" w:rsidRDefault="00763CD1" w:rsidP="00763CD1">
      <w:pPr>
        <w:jc w:val="both"/>
        <w:rPr>
          <w:sz w:val="22"/>
          <w:szCs w:val="22"/>
        </w:rPr>
      </w:pPr>
      <w:r>
        <w:rPr>
          <w:sz w:val="22"/>
          <w:szCs w:val="22"/>
        </w:rPr>
        <w:t>It was concluded that the biological performance of all five production batches was acceptable and as expected, irrespective of the measured differences in release rate profile.</w:t>
      </w:r>
    </w:p>
    <w:p w:rsidR="00763CD1" w:rsidRDefault="00763CD1" w:rsidP="00763CD1">
      <w:pPr>
        <w:jc w:val="both"/>
        <w:rPr>
          <w:sz w:val="22"/>
          <w:szCs w:val="22"/>
        </w:rPr>
      </w:pPr>
    </w:p>
    <w:p w:rsidR="00763CD1" w:rsidRDefault="00763CD1" w:rsidP="00763CD1">
      <w:pPr>
        <w:jc w:val="both"/>
        <w:rPr>
          <w:sz w:val="22"/>
          <w:szCs w:val="22"/>
        </w:rPr>
      </w:pPr>
      <w:r>
        <w:rPr>
          <w:sz w:val="22"/>
          <w:szCs w:val="22"/>
        </w:rPr>
        <w:t>Overall i</w:t>
      </w:r>
      <w:r w:rsidRPr="00877093">
        <w:rPr>
          <w:sz w:val="22"/>
          <w:szCs w:val="22"/>
        </w:rPr>
        <w:t>n summary, the release r</w:t>
      </w:r>
      <w:r>
        <w:rPr>
          <w:sz w:val="22"/>
          <w:szCs w:val="22"/>
        </w:rPr>
        <w:t>ate and biological efficacy studies</w:t>
      </w:r>
      <w:r w:rsidRPr="00877093">
        <w:rPr>
          <w:sz w:val="22"/>
          <w:szCs w:val="22"/>
        </w:rPr>
        <w:t xml:space="preserve"> from 2014 and 2019</w:t>
      </w:r>
      <w:r>
        <w:rPr>
          <w:sz w:val="22"/>
          <w:szCs w:val="22"/>
        </w:rPr>
        <w:t>,</w:t>
      </w:r>
      <w:r w:rsidRPr="00877093">
        <w:rPr>
          <w:sz w:val="22"/>
          <w:szCs w:val="22"/>
        </w:rPr>
        <w:t xml:space="preserve"> </w:t>
      </w:r>
      <w:r>
        <w:rPr>
          <w:sz w:val="22"/>
          <w:szCs w:val="22"/>
        </w:rPr>
        <w:t>point</w:t>
      </w:r>
      <w:r w:rsidRPr="00877093">
        <w:rPr>
          <w:sz w:val="22"/>
          <w:szCs w:val="22"/>
        </w:rPr>
        <w:t xml:space="preserve"> towards the same conclusions</w:t>
      </w:r>
      <w:r>
        <w:rPr>
          <w:sz w:val="22"/>
          <w:szCs w:val="22"/>
        </w:rPr>
        <w:t>:</w:t>
      </w:r>
    </w:p>
    <w:p w:rsidR="00763CD1" w:rsidRDefault="00763CD1" w:rsidP="00763CD1">
      <w:pPr>
        <w:jc w:val="both"/>
        <w:rPr>
          <w:sz w:val="22"/>
          <w:szCs w:val="22"/>
        </w:rPr>
      </w:pPr>
    </w:p>
    <w:p w:rsidR="00763CD1" w:rsidRPr="006B1526" w:rsidRDefault="00763CD1" w:rsidP="00763CD1">
      <w:pPr>
        <w:pStyle w:val="ListParagraph"/>
        <w:numPr>
          <w:ilvl w:val="0"/>
          <w:numId w:val="7"/>
        </w:numPr>
        <w:jc w:val="both"/>
        <w:rPr>
          <w:sz w:val="22"/>
          <w:szCs w:val="22"/>
        </w:rPr>
      </w:pPr>
      <w:r w:rsidRPr="00877093">
        <w:rPr>
          <w:sz w:val="22"/>
          <w:szCs w:val="22"/>
        </w:rPr>
        <w:t>Production batches of ICON 10CS have acceptable biological performance irrespective of the differences in release rate as measured acco</w:t>
      </w:r>
      <w:r>
        <w:rPr>
          <w:sz w:val="22"/>
          <w:szCs w:val="22"/>
        </w:rPr>
        <w:t>rding to the CIPAC MT190 method i.e. t</w:t>
      </w:r>
      <w:r w:rsidRPr="006B1526">
        <w:rPr>
          <w:sz w:val="22"/>
          <w:szCs w:val="22"/>
        </w:rPr>
        <w:t xml:space="preserve">here is no simple relationship between the biological performance </w:t>
      </w:r>
      <w:r>
        <w:rPr>
          <w:sz w:val="22"/>
          <w:szCs w:val="22"/>
        </w:rPr>
        <w:t xml:space="preserve">and </w:t>
      </w:r>
      <w:r w:rsidRPr="006B1526">
        <w:rPr>
          <w:sz w:val="22"/>
          <w:szCs w:val="22"/>
        </w:rPr>
        <w:t>release</w:t>
      </w:r>
      <w:r>
        <w:rPr>
          <w:sz w:val="22"/>
          <w:szCs w:val="22"/>
        </w:rPr>
        <w:t xml:space="preserve"> rate profile.</w:t>
      </w:r>
    </w:p>
    <w:p w:rsidR="00763CD1" w:rsidRDefault="00763CD1" w:rsidP="00763CD1">
      <w:pPr>
        <w:jc w:val="both"/>
        <w:rPr>
          <w:sz w:val="22"/>
          <w:szCs w:val="22"/>
        </w:rPr>
      </w:pPr>
    </w:p>
    <w:p w:rsidR="00763CD1" w:rsidRPr="006B1526" w:rsidRDefault="00763CD1" w:rsidP="00763CD1">
      <w:pPr>
        <w:pStyle w:val="ListParagraph"/>
        <w:numPr>
          <w:ilvl w:val="0"/>
          <w:numId w:val="7"/>
        </w:numPr>
        <w:jc w:val="both"/>
        <w:rPr>
          <w:sz w:val="22"/>
          <w:szCs w:val="22"/>
        </w:rPr>
      </w:pPr>
      <w:r w:rsidRPr="00877093">
        <w:rPr>
          <w:sz w:val="22"/>
          <w:szCs w:val="22"/>
          <w:lang w:val="en-GB"/>
        </w:rPr>
        <w:t xml:space="preserve">The release rate limits within the </w:t>
      </w:r>
      <w:r>
        <w:rPr>
          <w:sz w:val="22"/>
          <w:szCs w:val="22"/>
          <w:lang w:val="en-GB"/>
        </w:rPr>
        <w:t xml:space="preserve">current </w:t>
      </w:r>
      <w:r w:rsidRPr="00877093">
        <w:rPr>
          <w:sz w:val="22"/>
          <w:szCs w:val="22"/>
          <w:lang w:val="en-GB"/>
        </w:rPr>
        <w:t>specification (</w:t>
      </w:r>
      <w:r>
        <w:rPr>
          <w:sz w:val="22"/>
          <w:szCs w:val="22"/>
          <w:lang w:val="en-GB"/>
        </w:rPr>
        <w:t xml:space="preserve">WHO </w:t>
      </w:r>
      <w:r w:rsidRPr="00877093">
        <w:rPr>
          <w:sz w:val="22"/>
          <w:szCs w:val="22"/>
          <w:lang w:val="en-GB"/>
        </w:rPr>
        <w:t>463/CS) clause</w:t>
      </w:r>
      <w:r w:rsidRPr="00877093">
        <w:rPr>
          <w:sz w:val="22"/>
          <w:szCs w:val="22"/>
        </w:rPr>
        <w:t xml:space="preserve"> </w:t>
      </w:r>
      <w:r w:rsidRPr="00877093">
        <w:rPr>
          <w:sz w:val="22"/>
          <w:szCs w:val="22"/>
          <w:lang w:val="en-GB"/>
        </w:rPr>
        <w:t>are difficult to achieve, don’t correlate well with biological activity and are time consuming.</w:t>
      </w:r>
      <w:r>
        <w:rPr>
          <w:sz w:val="22"/>
          <w:szCs w:val="22"/>
          <w:lang w:val="en-GB"/>
        </w:rPr>
        <w:t xml:space="preserve"> In summary, they current limits do not add value to the quality assessment of the encapsulated products.</w:t>
      </w:r>
    </w:p>
    <w:p w:rsidR="004D3566" w:rsidRDefault="004D3566">
      <w:pPr>
        <w:spacing w:line="240" w:lineRule="auto"/>
      </w:pPr>
      <w:r>
        <w:br w:type="page"/>
      </w:r>
    </w:p>
    <w:p w:rsidR="004D3566" w:rsidRDefault="004D3566" w:rsidP="004D3566">
      <w:pPr>
        <w:jc w:val="both"/>
        <w:rPr>
          <w:sz w:val="22"/>
          <w:szCs w:val="22"/>
        </w:rPr>
      </w:pPr>
      <w:r>
        <w:rPr>
          <w:sz w:val="22"/>
          <w:szCs w:val="22"/>
        </w:rPr>
        <w:lastRenderedPageBreak/>
        <w:t>In relation to the release rate, the formulation chemical composition and process (reaction time) effectively define the macro variables that effect the rate of release from the micro-capsules and these input parameters are effectively fixed for a given formulation.</w:t>
      </w:r>
    </w:p>
    <w:p w:rsidR="004D3566" w:rsidRDefault="004D3566" w:rsidP="004D3566">
      <w:pPr>
        <w:jc w:val="both"/>
        <w:rPr>
          <w:sz w:val="22"/>
          <w:szCs w:val="22"/>
        </w:rPr>
      </w:pPr>
      <w:r>
        <w:rPr>
          <w:sz w:val="22"/>
          <w:szCs w:val="22"/>
        </w:rPr>
        <w:t xml:space="preserve"> </w:t>
      </w:r>
    </w:p>
    <w:p w:rsidR="004D3566" w:rsidRDefault="004D3566" w:rsidP="004D3566">
      <w:pPr>
        <w:jc w:val="both"/>
        <w:rPr>
          <w:sz w:val="22"/>
          <w:szCs w:val="22"/>
        </w:rPr>
      </w:pPr>
      <w:r w:rsidRPr="00877093">
        <w:rPr>
          <w:sz w:val="22"/>
          <w:szCs w:val="22"/>
        </w:rPr>
        <w:t xml:space="preserve">Therefore, </w:t>
      </w:r>
      <w:r>
        <w:rPr>
          <w:sz w:val="22"/>
          <w:szCs w:val="22"/>
        </w:rPr>
        <w:t xml:space="preserve">after analysis of a wider data set </w:t>
      </w:r>
      <w:r w:rsidRPr="00877093">
        <w:rPr>
          <w:sz w:val="22"/>
          <w:szCs w:val="22"/>
        </w:rPr>
        <w:t xml:space="preserve">Syngenta has postulated that the current release rate clause in the WHO specification 463/CS is not appropriate and should be modified, to a single measurement at 15minutes with a modified “% released range” for lambda-cyhalothrin as per </w:t>
      </w:r>
      <w:r>
        <w:rPr>
          <w:sz w:val="22"/>
          <w:szCs w:val="22"/>
        </w:rPr>
        <w:t>Table 1</w:t>
      </w:r>
      <w:r w:rsidRPr="00877093">
        <w:rPr>
          <w:sz w:val="22"/>
          <w:szCs w:val="22"/>
        </w:rPr>
        <w:t>.</w:t>
      </w:r>
    </w:p>
    <w:p w:rsidR="004D3566" w:rsidRDefault="004D3566" w:rsidP="004D3566">
      <w:pPr>
        <w:jc w:val="both"/>
        <w:rPr>
          <w:sz w:val="22"/>
          <w:szCs w:val="22"/>
        </w:rPr>
      </w:pPr>
    </w:p>
    <w:p w:rsidR="004D3566" w:rsidRPr="00A53EBE" w:rsidRDefault="004D3566" w:rsidP="004D3566">
      <w:pPr>
        <w:spacing w:after="120"/>
        <w:jc w:val="both"/>
        <w:rPr>
          <w:b/>
        </w:rPr>
      </w:pPr>
      <w:r w:rsidRPr="00A53EBE">
        <w:rPr>
          <w:b/>
        </w:rPr>
        <w:t>Table 1. Current and Proposed Release Rate Clause for WHO 463/CS</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33"/>
        <w:gridCol w:w="2875"/>
        <w:gridCol w:w="2746"/>
      </w:tblGrid>
      <w:tr w:rsidR="004D3566" w:rsidTr="00ED1F89">
        <w:tc>
          <w:tcPr>
            <w:tcW w:w="3539" w:type="dxa"/>
            <w:tcBorders>
              <w:bottom w:val="single" w:sz="8" w:space="0" w:color="auto"/>
            </w:tcBorders>
            <w:shd w:val="clear" w:color="auto" w:fill="D9D9D9" w:themeFill="background1" w:themeFillShade="D9"/>
          </w:tcPr>
          <w:p w:rsidR="004D3566" w:rsidRPr="00C13B8F" w:rsidRDefault="004D3566" w:rsidP="00ED1F89">
            <w:pPr>
              <w:spacing w:before="60" w:after="60"/>
              <w:rPr>
                <w:b/>
              </w:rPr>
            </w:pPr>
            <w:r w:rsidRPr="00C13B8F">
              <w:rPr>
                <w:b/>
              </w:rPr>
              <w:t>WHO 463/CS Specification Clause</w:t>
            </w:r>
          </w:p>
        </w:tc>
        <w:tc>
          <w:tcPr>
            <w:tcW w:w="2977" w:type="dxa"/>
            <w:tcBorders>
              <w:bottom w:val="single" w:sz="8" w:space="0" w:color="auto"/>
            </w:tcBorders>
            <w:shd w:val="clear" w:color="auto" w:fill="D9D9D9" w:themeFill="background1" w:themeFillShade="D9"/>
          </w:tcPr>
          <w:p w:rsidR="004D3566" w:rsidRPr="00C13B8F" w:rsidRDefault="004D3566" w:rsidP="00ED1F89">
            <w:pPr>
              <w:spacing w:before="60" w:after="60"/>
              <w:rPr>
                <w:b/>
              </w:rPr>
            </w:pPr>
            <w:r w:rsidRPr="00C13B8F">
              <w:rPr>
                <w:b/>
              </w:rPr>
              <w:t>Current limit</w:t>
            </w:r>
          </w:p>
        </w:tc>
        <w:tc>
          <w:tcPr>
            <w:tcW w:w="2834" w:type="dxa"/>
            <w:tcBorders>
              <w:bottom w:val="single" w:sz="8" w:space="0" w:color="auto"/>
            </w:tcBorders>
            <w:shd w:val="clear" w:color="auto" w:fill="D9D9D9" w:themeFill="background1" w:themeFillShade="D9"/>
          </w:tcPr>
          <w:p w:rsidR="004D3566" w:rsidRPr="00C13B8F" w:rsidRDefault="004D3566" w:rsidP="00ED1F89">
            <w:pPr>
              <w:spacing w:before="60" w:after="60"/>
              <w:jc w:val="both"/>
              <w:rPr>
                <w:b/>
              </w:rPr>
            </w:pPr>
            <w:r w:rsidRPr="00C13B8F">
              <w:rPr>
                <w:b/>
              </w:rPr>
              <w:t>Proposed New Limit</w:t>
            </w:r>
          </w:p>
        </w:tc>
      </w:tr>
      <w:tr w:rsidR="004D3566" w:rsidTr="00ED1F89">
        <w:trPr>
          <w:trHeight w:val="1581"/>
        </w:trPr>
        <w:tc>
          <w:tcPr>
            <w:tcW w:w="3539" w:type="dxa"/>
            <w:tcBorders>
              <w:top w:val="single" w:sz="8" w:space="0" w:color="auto"/>
            </w:tcBorders>
          </w:tcPr>
          <w:p w:rsidR="004D3566" w:rsidRPr="00C13B8F" w:rsidRDefault="004D3566" w:rsidP="00ED1F89">
            <w:pPr>
              <w:rPr>
                <w:sz w:val="18"/>
                <w:szCs w:val="18"/>
              </w:rPr>
            </w:pPr>
            <w:r w:rsidRPr="00C13B8F">
              <w:rPr>
                <w:sz w:val="18"/>
                <w:szCs w:val="18"/>
              </w:rPr>
              <w:t>Release of lambda-cyhalothrin [2.4]</w:t>
            </w:r>
          </w:p>
        </w:tc>
        <w:tc>
          <w:tcPr>
            <w:tcW w:w="2977" w:type="dxa"/>
            <w:tcBorders>
              <w:top w:val="single" w:sz="8" w:space="0" w:color="auto"/>
            </w:tcBorders>
          </w:tcPr>
          <w:p w:rsidR="004D3566" w:rsidRPr="00C13B8F" w:rsidRDefault="004D3566" w:rsidP="00ED1F89">
            <w:pPr>
              <w:rPr>
                <w:sz w:val="18"/>
                <w:szCs w:val="18"/>
              </w:rPr>
            </w:pPr>
            <w:r w:rsidRPr="00C13B8F">
              <w:rPr>
                <w:sz w:val="18"/>
                <w:szCs w:val="18"/>
              </w:rPr>
              <w:t>The release of lambda-cyhalothrin from the capsules shall be:</w:t>
            </w:r>
          </w:p>
          <w:p w:rsidR="004D3566" w:rsidRPr="00C13B8F" w:rsidRDefault="004D3566" w:rsidP="00ED1F89">
            <w:pPr>
              <w:rPr>
                <w:sz w:val="18"/>
                <w:szCs w:val="18"/>
              </w:rPr>
            </w:pPr>
            <w:r w:rsidRPr="00C13B8F">
              <w:rPr>
                <w:sz w:val="18"/>
                <w:szCs w:val="18"/>
              </w:rPr>
              <w:t xml:space="preserve">at 15 min, 30 to 75% of that released at 180 min; </w:t>
            </w:r>
          </w:p>
          <w:p w:rsidR="004D3566" w:rsidRPr="00C13B8F" w:rsidRDefault="004D3566" w:rsidP="00ED1F89">
            <w:pPr>
              <w:rPr>
                <w:sz w:val="18"/>
                <w:szCs w:val="18"/>
              </w:rPr>
            </w:pPr>
            <w:r w:rsidRPr="00C13B8F">
              <w:rPr>
                <w:sz w:val="18"/>
                <w:szCs w:val="18"/>
              </w:rPr>
              <w:t xml:space="preserve">and at 30 min, 50 to 90% of that released at 180 min; </w:t>
            </w:r>
          </w:p>
          <w:p w:rsidR="004D3566" w:rsidRPr="00C13B8F" w:rsidRDefault="004D3566" w:rsidP="00ED1F89">
            <w:pPr>
              <w:spacing w:after="60"/>
              <w:rPr>
                <w:sz w:val="18"/>
                <w:szCs w:val="18"/>
              </w:rPr>
            </w:pPr>
            <w:proofErr w:type="gramStart"/>
            <w:r w:rsidRPr="00C13B8F">
              <w:rPr>
                <w:sz w:val="18"/>
                <w:szCs w:val="18"/>
              </w:rPr>
              <w:t>and</w:t>
            </w:r>
            <w:proofErr w:type="gramEnd"/>
            <w:r w:rsidRPr="00C13B8F">
              <w:rPr>
                <w:sz w:val="18"/>
                <w:szCs w:val="18"/>
              </w:rPr>
              <w:t xml:space="preserve"> at 180 min, a minimum of 80% of the total lambda-cyhalothrin content, determined according to clause 2.2.</w:t>
            </w:r>
          </w:p>
        </w:tc>
        <w:tc>
          <w:tcPr>
            <w:tcW w:w="2834" w:type="dxa"/>
            <w:tcBorders>
              <w:top w:val="single" w:sz="8" w:space="0" w:color="auto"/>
            </w:tcBorders>
          </w:tcPr>
          <w:p w:rsidR="004D3566" w:rsidRPr="00C13B8F" w:rsidRDefault="004D3566" w:rsidP="00ED1F89">
            <w:pPr>
              <w:rPr>
                <w:sz w:val="18"/>
                <w:szCs w:val="18"/>
              </w:rPr>
            </w:pPr>
            <w:r w:rsidRPr="00C13B8F">
              <w:rPr>
                <w:sz w:val="18"/>
                <w:szCs w:val="18"/>
              </w:rPr>
              <w:t>The release of lambda-cyhalothrin measured from the capsules at 15 min, shall be 15 to 60% of the total lambda-cyhalothrin content determined according to clause 2.2.</w:t>
            </w:r>
          </w:p>
        </w:tc>
      </w:tr>
    </w:tbl>
    <w:p w:rsidR="004D3566" w:rsidRDefault="004D3566" w:rsidP="004D3566">
      <w:pPr>
        <w:spacing w:before="240" w:after="160" w:line="259" w:lineRule="auto"/>
        <w:jc w:val="both"/>
        <w:rPr>
          <w:sz w:val="22"/>
          <w:szCs w:val="22"/>
        </w:rPr>
      </w:pPr>
      <w:r>
        <w:rPr>
          <w:sz w:val="22"/>
          <w:szCs w:val="22"/>
        </w:rPr>
        <w:t>An updated, draft l</w:t>
      </w:r>
      <w:r w:rsidRPr="00B94418">
        <w:rPr>
          <w:sz w:val="22"/>
          <w:szCs w:val="22"/>
        </w:rPr>
        <w:t>ambda-cyhalothrin WHO</w:t>
      </w:r>
      <w:r>
        <w:rPr>
          <w:sz w:val="22"/>
          <w:szCs w:val="22"/>
        </w:rPr>
        <w:t xml:space="preserve"> specification 463/CS proposal in Word format is included with this submission.</w:t>
      </w:r>
    </w:p>
    <w:p w:rsidR="004D3566" w:rsidRDefault="004D3566" w:rsidP="004D3566">
      <w:pPr>
        <w:spacing w:before="240" w:after="160" w:line="259" w:lineRule="auto"/>
        <w:jc w:val="both"/>
        <w:rPr>
          <w:sz w:val="22"/>
          <w:szCs w:val="22"/>
        </w:rPr>
      </w:pPr>
      <w:r w:rsidRPr="00796174">
        <w:rPr>
          <w:sz w:val="22"/>
          <w:szCs w:val="22"/>
        </w:rPr>
        <w:t xml:space="preserve">Syngenta believes that this new proposal </w:t>
      </w:r>
      <w:r w:rsidRPr="00796174">
        <w:rPr>
          <w:sz w:val="22"/>
          <w:szCs w:val="22"/>
          <w:lang w:val="en-GB"/>
        </w:rPr>
        <w:t>provides an adequate quality benchmark that can be assessed in a timely manner compared to the current limits in the specification clause.</w:t>
      </w:r>
      <w:r>
        <w:rPr>
          <w:sz w:val="22"/>
          <w:szCs w:val="22"/>
          <w:lang w:val="en-GB"/>
        </w:rPr>
        <w:t xml:space="preserve"> It is consistent with the approach taken for the pirimiphos-methyl capsule suspension (WHO 239/CS) and will ensure a saving in resource for quality control laboratories without compromising quality.</w:t>
      </w:r>
    </w:p>
    <w:p w:rsidR="004D3566" w:rsidRPr="00E406F2" w:rsidRDefault="004D3566" w:rsidP="004D3566">
      <w:pPr>
        <w:spacing w:before="240" w:after="160" w:line="259" w:lineRule="auto"/>
        <w:jc w:val="both"/>
        <w:rPr>
          <w:sz w:val="22"/>
          <w:szCs w:val="22"/>
        </w:rPr>
      </w:pPr>
      <w:r>
        <w:rPr>
          <w:sz w:val="22"/>
          <w:szCs w:val="22"/>
        </w:rPr>
        <w:t>With respect to CIPAC MT190 the strict dependence of the release rate on the ethanol volume used in the IS preparation should be emphasized through CIPAC in relation to the communication of the erratum. Finally, should the proposed specification limit be accepted then there is a need to update the method CIPAC MT190 so that it is consistent with the new specification limits.</w:t>
      </w:r>
      <w:r w:rsidRPr="00E1223E">
        <w:rPr>
          <w:lang w:val="en-GB"/>
        </w:rPr>
        <w:t xml:space="preserve"> </w:t>
      </w:r>
      <w:r w:rsidRPr="00E1223E">
        <w:rPr>
          <w:sz w:val="22"/>
          <w:szCs w:val="22"/>
          <w:lang w:val="en-GB"/>
        </w:rPr>
        <w:t>Discussions are currently underway with CIPAC to determine the way forward and it is expected that an updated MT method and supporting data will be presented at the 2020 CIPAC meeting.</w:t>
      </w:r>
    </w:p>
    <w:p w:rsidR="00277696" w:rsidRPr="00C72797" w:rsidRDefault="00277696" w:rsidP="00E62916">
      <w:pPr>
        <w:tabs>
          <w:tab w:val="left" w:pos="1713"/>
        </w:tabs>
        <w:rPr>
          <w:sz w:val="22"/>
          <w:szCs w:val="22"/>
        </w:rPr>
      </w:pPr>
    </w:p>
    <w:p w:rsidR="0051669D" w:rsidRPr="00C72797" w:rsidRDefault="00C72797" w:rsidP="00E62916">
      <w:pPr>
        <w:tabs>
          <w:tab w:val="left" w:pos="1713"/>
        </w:tabs>
        <w:rPr>
          <w:sz w:val="22"/>
          <w:szCs w:val="22"/>
        </w:rPr>
      </w:pPr>
      <w:r w:rsidRPr="00C72797">
        <w:rPr>
          <w:b/>
          <w:sz w:val="22"/>
          <w:szCs w:val="22"/>
        </w:rPr>
        <w:t>Peter Kundel</w:t>
      </w:r>
      <w:r w:rsidRPr="00C72797">
        <w:rPr>
          <w:b/>
          <w:sz w:val="22"/>
          <w:szCs w:val="22"/>
        </w:rPr>
        <w:tab/>
      </w:r>
    </w:p>
    <w:p w:rsidR="0051669D" w:rsidRPr="00C72797" w:rsidRDefault="00C72797" w:rsidP="00E62916">
      <w:pPr>
        <w:tabs>
          <w:tab w:val="left" w:pos="1713"/>
        </w:tabs>
        <w:rPr>
          <w:sz w:val="22"/>
          <w:szCs w:val="22"/>
        </w:rPr>
      </w:pPr>
      <w:r w:rsidRPr="00C72797">
        <w:rPr>
          <w:sz w:val="22"/>
          <w:szCs w:val="22"/>
        </w:rPr>
        <w:t>Group Leader Product Chem. Formulation</w:t>
      </w:r>
    </w:p>
    <w:p w:rsidR="0051669D" w:rsidRPr="00C72797" w:rsidRDefault="0051669D" w:rsidP="00E62916">
      <w:pPr>
        <w:tabs>
          <w:tab w:val="left" w:pos="1713"/>
        </w:tabs>
        <w:rPr>
          <w:sz w:val="22"/>
          <w:szCs w:val="22"/>
        </w:rPr>
      </w:pPr>
    </w:p>
    <w:p w:rsidR="00C72797" w:rsidRPr="00C72797" w:rsidRDefault="00C72797" w:rsidP="0051669D">
      <w:pPr>
        <w:pStyle w:val="SGAText"/>
        <w:rPr>
          <w:b/>
        </w:rPr>
      </w:pPr>
      <w:r w:rsidRPr="00C72797">
        <w:rPr>
          <w:b/>
        </w:rPr>
        <w:t>Céline Simonin</w:t>
      </w:r>
    </w:p>
    <w:p w:rsidR="00C72797" w:rsidRPr="00AC2EB1" w:rsidRDefault="00AC2EB1" w:rsidP="0051669D">
      <w:pPr>
        <w:pStyle w:val="SGAText"/>
      </w:pPr>
      <w:r w:rsidRPr="00AC2EB1">
        <w:t>Analytical Development Team Leader</w:t>
      </w:r>
    </w:p>
    <w:p w:rsidR="00C72797" w:rsidRPr="00C72797" w:rsidRDefault="00C72797" w:rsidP="0051669D">
      <w:pPr>
        <w:pStyle w:val="SGAText"/>
        <w:rPr>
          <w:b/>
        </w:rPr>
      </w:pPr>
    </w:p>
    <w:p w:rsidR="0051669D" w:rsidRDefault="0051669D" w:rsidP="005C08CF">
      <w:pPr>
        <w:pStyle w:val="SGAText"/>
      </w:pPr>
      <w:r w:rsidRPr="00C72797">
        <w:rPr>
          <w:b/>
        </w:rPr>
        <w:t>Simon Baker</w:t>
      </w:r>
      <w:r w:rsidRPr="00C72797">
        <w:rPr>
          <w:b/>
        </w:rPr>
        <w:tab/>
      </w:r>
      <w:r w:rsidRPr="00C72797">
        <w:rPr>
          <w:b/>
        </w:rPr>
        <w:tab/>
      </w:r>
      <w:r w:rsidRPr="00C72797">
        <w:rPr>
          <w:b/>
        </w:rPr>
        <w:tab/>
      </w:r>
      <w:r w:rsidRPr="00C72797">
        <w:rPr>
          <w:b/>
        </w:rPr>
        <w:tab/>
      </w:r>
      <w:r w:rsidRPr="00C72797">
        <w:rPr>
          <w:b/>
        </w:rPr>
        <w:tab/>
      </w:r>
      <w:r w:rsidRPr="00C72797">
        <w:rPr>
          <w:b/>
        </w:rPr>
        <w:tab/>
      </w:r>
      <w:r w:rsidRPr="00C72797">
        <w:br/>
        <w:t>Product Chemistry Manager</w:t>
      </w:r>
    </w:p>
    <w:sectPr w:rsidR="0051669D" w:rsidSect="002A1D17">
      <w:headerReference w:type="default" r:id="rId15"/>
      <w:footerReference w:type="default" r:id="rId16"/>
      <w:headerReference w:type="first" r:id="rId17"/>
      <w:footerReference w:type="first" r:id="rId18"/>
      <w:pgSz w:w="11906" w:h="16838" w:code="9"/>
      <w:pgMar w:top="1809" w:right="1418" w:bottom="1418" w:left="1418" w:header="595" w:footer="30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5AD" w:rsidRDefault="00CC45AD">
      <w:r>
        <w:separator/>
      </w:r>
    </w:p>
  </w:endnote>
  <w:endnote w:type="continuationSeparator" w:id="0">
    <w:p w:rsidR="00CC45AD" w:rsidRDefault="00CC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CellMar>
        <w:left w:w="0" w:type="dxa"/>
        <w:right w:w="0" w:type="dxa"/>
      </w:tblCellMar>
      <w:tblLook w:val="0000" w:firstRow="0" w:lastRow="0" w:firstColumn="0" w:lastColumn="0" w:noHBand="0" w:noVBand="0"/>
    </w:tblPr>
    <w:tblGrid>
      <w:gridCol w:w="7371"/>
      <w:gridCol w:w="1701"/>
    </w:tblGrid>
    <w:tr w:rsidR="00A129DD" w:rsidRPr="0019139B" w:rsidTr="00A129DD">
      <w:trPr>
        <w:cantSplit/>
      </w:trPr>
      <w:tc>
        <w:tcPr>
          <w:tcW w:w="7371" w:type="dxa"/>
          <w:vAlign w:val="bottom"/>
        </w:tcPr>
        <w:p w:rsidR="002A1D17" w:rsidRPr="00F76D4E" w:rsidRDefault="002A1D17" w:rsidP="009F1E93">
          <w:pPr>
            <w:pStyle w:val="SGAText"/>
            <w:rPr>
              <w:sz w:val="16"/>
              <w:szCs w:val="16"/>
            </w:rPr>
          </w:pPr>
        </w:p>
      </w:tc>
      <w:tc>
        <w:tcPr>
          <w:tcW w:w="1701" w:type="dxa"/>
          <w:vAlign w:val="bottom"/>
        </w:tcPr>
        <w:p w:rsidR="00A129DD" w:rsidRPr="0019139B" w:rsidRDefault="00A129DD" w:rsidP="00A129DD">
          <w:pPr>
            <w:pStyle w:val="SGAFooter"/>
            <w:jc w:val="right"/>
          </w:pPr>
          <w:r w:rsidRPr="0019139B">
            <w:t xml:space="preserve">Page </w:t>
          </w:r>
          <w:r w:rsidR="00B307FB">
            <w:fldChar w:fldCharType="begin"/>
          </w:r>
          <w:r w:rsidR="00B307FB">
            <w:instrText xml:space="preserve"> PAGE   \* MERGEFORMAT </w:instrText>
          </w:r>
          <w:r w:rsidR="00B307FB">
            <w:fldChar w:fldCharType="separate"/>
          </w:r>
          <w:r w:rsidR="006E46EA">
            <w:rPr>
              <w:noProof/>
            </w:rPr>
            <w:t>10</w:t>
          </w:r>
          <w:r w:rsidR="00B307FB">
            <w:rPr>
              <w:noProof/>
            </w:rPr>
            <w:fldChar w:fldCharType="end"/>
          </w:r>
          <w:r w:rsidRPr="0019139B">
            <w:t xml:space="preserve"> of </w:t>
          </w:r>
          <w:r w:rsidR="00CC45AD">
            <w:rPr>
              <w:noProof/>
            </w:rPr>
            <w:fldChar w:fldCharType="begin"/>
          </w:r>
          <w:r w:rsidR="00CC45AD">
            <w:rPr>
              <w:noProof/>
            </w:rPr>
            <w:instrText xml:space="preserve"> NUMPAGES   \* MERGEFORMAT </w:instrText>
          </w:r>
          <w:r w:rsidR="00CC45AD">
            <w:rPr>
              <w:noProof/>
            </w:rPr>
            <w:fldChar w:fldCharType="separate"/>
          </w:r>
          <w:r w:rsidR="006E46EA">
            <w:rPr>
              <w:noProof/>
            </w:rPr>
            <w:t>10</w:t>
          </w:r>
          <w:r w:rsidR="00CC45AD">
            <w:rPr>
              <w:noProof/>
            </w:rPr>
            <w:fldChar w:fldCharType="end"/>
          </w:r>
        </w:p>
      </w:tc>
    </w:tr>
  </w:tbl>
  <w:p w:rsidR="009C05F9" w:rsidRPr="009C05F9" w:rsidRDefault="009C05F9" w:rsidP="009C05F9">
    <w:pPr>
      <w:pStyle w:val="SGA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CellMar>
        <w:left w:w="0" w:type="dxa"/>
        <w:right w:w="0" w:type="dxa"/>
      </w:tblCellMar>
      <w:tblLook w:val="0000" w:firstRow="0" w:lastRow="0" w:firstColumn="0" w:lastColumn="0" w:noHBand="0" w:noVBand="0"/>
    </w:tblPr>
    <w:tblGrid>
      <w:gridCol w:w="7371"/>
      <w:gridCol w:w="1701"/>
    </w:tblGrid>
    <w:tr w:rsidR="00A129DD" w:rsidRPr="0019139B" w:rsidTr="00A129DD">
      <w:trPr>
        <w:cantSplit/>
      </w:trPr>
      <w:tc>
        <w:tcPr>
          <w:tcW w:w="7371" w:type="dxa"/>
          <w:vAlign w:val="bottom"/>
        </w:tcPr>
        <w:p w:rsidR="00A129DD" w:rsidRPr="0019139B" w:rsidRDefault="00A129DD" w:rsidP="009076AF">
          <w:pPr>
            <w:pStyle w:val="SGAText"/>
            <w:rPr>
              <w:sz w:val="12"/>
              <w:szCs w:val="12"/>
            </w:rPr>
          </w:pPr>
          <w:r w:rsidRPr="0019139B">
            <w:rPr>
              <w:sz w:val="12"/>
              <w:szCs w:val="12"/>
            </w:rPr>
            <w:t>Classification:</w:t>
          </w:r>
          <w:r w:rsidRPr="0019139B">
            <w:rPr>
              <w:sz w:val="16"/>
              <w:szCs w:val="12"/>
            </w:rPr>
            <w:t xml:space="preserve"> </w:t>
          </w:r>
          <w:sdt>
            <w:sdtPr>
              <w:rPr>
                <w:b/>
                <w:sz w:val="16"/>
                <w:szCs w:val="12"/>
              </w:rPr>
              <w:id w:val="1601897"/>
              <w:lock w:val="sdtLocked"/>
              <w:dropDownList/>
            </w:sdtPr>
            <w:sdtEndPr/>
            <w:sdtContent>
              <w:r w:rsidR="00D058E9" w:rsidRPr="0019139B">
                <w:rPr>
                  <w:b/>
                  <w:sz w:val="16"/>
                  <w:szCs w:val="12"/>
                </w:rPr>
                <w:t>INTERNAL USE ONLY</w:t>
              </w:r>
            </w:sdtContent>
          </w:sdt>
        </w:p>
      </w:tc>
      <w:tc>
        <w:tcPr>
          <w:tcW w:w="1701" w:type="dxa"/>
          <w:vAlign w:val="bottom"/>
        </w:tcPr>
        <w:p w:rsidR="00A129DD" w:rsidRPr="0019139B" w:rsidRDefault="00A129DD" w:rsidP="00A129DD">
          <w:pPr>
            <w:pStyle w:val="SGAFooter"/>
            <w:jc w:val="right"/>
          </w:pPr>
          <w:r w:rsidRPr="0019139B">
            <w:t xml:space="preserve">Page </w:t>
          </w:r>
          <w:r w:rsidR="00B307FB">
            <w:fldChar w:fldCharType="begin"/>
          </w:r>
          <w:r w:rsidR="00B307FB">
            <w:instrText xml:space="preserve"> PAGE   \* MERGEFORMAT </w:instrText>
          </w:r>
          <w:r w:rsidR="00B307FB">
            <w:fldChar w:fldCharType="separate"/>
          </w:r>
          <w:r w:rsidR="002A1D17">
            <w:rPr>
              <w:noProof/>
            </w:rPr>
            <w:t>1</w:t>
          </w:r>
          <w:r w:rsidR="00B307FB">
            <w:rPr>
              <w:noProof/>
            </w:rPr>
            <w:fldChar w:fldCharType="end"/>
          </w:r>
          <w:r w:rsidRPr="0019139B">
            <w:t xml:space="preserve"> of </w:t>
          </w:r>
          <w:r w:rsidR="00CC45AD">
            <w:rPr>
              <w:noProof/>
            </w:rPr>
            <w:fldChar w:fldCharType="begin"/>
          </w:r>
          <w:r w:rsidR="00CC45AD">
            <w:rPr>
              <w:noProof/>
            </w:rPr>
            <w:instrText xml:space="preserve"> NUMPAGES   \* MERGEFORMAT </w:instrText>
          </w:r>
          <w:r w:rsidR="00CC45AD">
            <w:rPr>
              <w:noProof/>
            </w:rPr>
            <w:fldChar w:fldCharType="separate"/>
          </w:r>
          <w:r w:rsidR="00F421BF">
            <w:rPr>
              <w:noProof/>
            </w:rPr>
            <w:t>10</w:t>
          </w:r>
          <w:r w:rsidR="00CC45AD">
            <w:rPr>
              <w:noProof/>
            </w:rPr>
            <w:fldChar w:fldCharType="end"/>
          </w:r>
        </w:p>
      </w:tc>
    </w:tr>
  </w:tbl>
  <w:p w:rsidR="002E189B" w:rsidRDefault="002E189B" w:rsidP="005736D4">
    <w:pPr>
      <w:pStyle w:val="SGA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5AD" w:rsidRDefault="00CC45AD">
      <w:r>
        <w:separator/>
      </w:r>
    </w:p>
  </w:footnote>
  <w:footnote w:type="continuationSeparator" w:id="0">
    <w:p w:rsidR="00CC45AD" w:rsidRDefault="00CC45AD">
      <w:r>
        <w:continuationSeparator/>
      </w:r>
    </w:p>
  </w:footnote>
  <w:footnote w:id="1">
    <w:p w:rsidR="00FB27A6" w:rsidRPr="00940DC7" w:rsidRDefault="00FB27A6" w:rsidP="00FB27A6">
      <w:pPr>
        <w:pStyle w:val="FootnoteText"/>
        <w:rPr>
          <w:sz w:val="18"/>
          <w:szCs w:val="18"/>
        </w:rPr>
      </w:pPr>
      <w:r w:rsidRPr="00940DC7">
        <w:rPr>
          <w:rStyle w:val="FootnoteReference"/>
          <w:sz w:val="18"/>
          <w:szCs w:val="18"/>
        </w:rPr>
        <w:footnoteRef/>
      </w:r>
      <w:r w:rsidRPr="00940DC7">
        <w:rPr>
          <w:sz w:val="18"/>
          <w:szCs w:val="18"/>
        </w:rPr>
        <w:t xml:space="preserve"> WHO Specification 239/CS (August 2016) </w:t>
      </w:r>
      <w:hyperlink r:id="rId1" w:history="1">
        <w:r w:rsidRPr="00490C21">
          <w:rPr>
            <w:rStyle w:val="Hyperlink"/>
            <w:sz w:val="18"/>
            <w:szCs w:val="18"/>
          </w:rPr>
          <w:t>https://www.who.int/pq-vector-control/prequalified-lists/actellic_300cs/en/</w:t>
        </w:r>
      </w:hyperlink>
    </w:p>
    <w:p w:rsidR="00FB27A6" w:rsidRPr="00940DC7" w:rsidRDefault="00FB27A6" w:rsidP="00FB27A6">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77D" w:rsidRDefault="0086020D" w:rsidP="009A1D7F">
    <w:pPr>
      <w:pStyle w:val="SGAHeader"/>
      <w:tabs>
        <w:tab w:val="left" w:pos="3040"/>
      </w:tabs>
      <w:spacing w:after="1440"/>
    </w:pPr>
    <w:r w:rsidRPr="0086020D">
      <w:rPr>
        <w:lang w:val="en-GB" w:eastAsia="en-GB"/>
      </w:rPr>
      <w:drawing>
        <wp:anchor distT="0" distB="0" distL="114300" distR="114300" simplePos="0" relativeHeight="251659264" behindDoc="0" locked="1" layoutInCell="1" allowOverlap="1">
          <wp:simplePos x="0" y="0"/>
          <wp:positionH relativeFrom="page">
            <wp:posOffset>624357</wp:posOffset>
          </wp:positionH>
          <wp:positionV relativeFrom="page">
            <wp:posOffset>734096</wp:posOffset>
          </wp:positionV>
          <wp:extent cx="1084088" cy="328411"/>
          <wp:effectExtent l="19050" t="0" r="4445" b="0"/>
          <wp:wrapNone/>
          <wp:docPr id="2" name="Bild 20" descr="Logo Syng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Syngenta"/>
                  <pic:cNvPicPr>
                    <a:picLocks noChangeAspect="1" noChangeArrowheads="1"/>
                  </pic:cNvPicPr>
                </pic:nvPicPr>
                <pic:blipFill>
                  <a:blip r:embed="rId1" cstate="print"/>
                  <a:srcRect/>
                  <a:stretch>
                    <a:fillRect/>
                  </a:stretch>
                </pic:blipFill>
                <pic:spPr bwMode="auto">
                  <a:xfrm>
                    <a:off x="0" y="0"/>
                    <a:ext cx="1081405" cy="325967"/>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F20" w:rsidRDefault="003F0406" w:rsidP="00E00BA6">
    <w:pPr>
      <w:pStyle w:val="SGAHeader"/>
    </w:pPr>
    <w:r>
      <w:rPr>
        <w:lang w:val="en-GB" w:eastAsia="en-GB"/>
      </w:rPr>
      <w:drawing>
        <wp:anchor distT="0" distB="0" distL="114300" distR="114300" simplePos="0" relativeHeight="251657216" behindDoc="0" locked="0" layoutInCell="1" allowOverlap="1">
          <wp:simplePos x="0" y="0"/>
          <wp:positionH relativeFrom="column">
            <wp:posOffset>-270510</wp:posOffset>
          </wp:positionH>
          <wp:positionV relativeFrom="paragraph">
            <wp:posOffset>362585</wp:posOffset>
          </wp:positionV>
          <wp:extent cx="1081405" cy="323850"/>
          <wp:effectExtent l="19050" t="0" r="4445" b="0"/>
          <wp:wrapNone/>
          <wp:docPr id="19" name="Bild 19" descr="Logo Syng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Syngenta"/>
                  <pic:cNvPicPr>
                    <a:picLocks noChangeAspect="1" noChangeArrowheads="1"/>
                  </pic:cNvPicPr>
                </pic:nvPicPr>
                <pic:blipFill>
                  <a:blip r:embed="rId1"/>
                  <a:srcRect/>
                  <a:stretch>
                    <a:fillRect/>
                  </a:stretch>
                </pic:blipFill>
                <pic:spPr bwMode="auto">
                  <a:xfrm>
                    <a:off x="0" y="0"/>
                    <a:ext cx="1081405" cy="3238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7066"/>
    <w:multiLevelType w:val="hybridMultilevel"/>
    <w:tmpl w:val="ABEC2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F91000"/>
    <w:multiLevelType w:val="hybridMultilevel"/>
    <w:tmpl w:val="11E60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811107"/>
    <w:multiLevelType w:val="hybridMultilevel"/>
    <w:tmpl w:val="B6600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541FF1"/>
    <w:multiLevelType w:val="hybridMultilevel"/>
    <w:tmpl w:val="4C107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1A6C46"/>
    <w:multiLevelType w:val="hybridMultilevel"/>
    <w:tmpl w:val="34E8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DE210A"/>
    <w:multiLevelType w:val="hybridMultilevel"/>
    <w:tmpl w:val="86B2C520"/>
    <w:lvl w:ilvl="0" w:tplc="DB20F7CC">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D614969"/>
    <w:multiLevelType w:val="hybridMultilevel"/>
    <w:tmpl w:val="EA80B86E"/>
    <w:lvl w:ilvl="0" w:tplc="A5403BB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806"/>
    <w:rsid w:val="00030E7F"/>
    <w:rsid w:val="00037A53"/>
    <w:rsid w:val="0004436A"/>
    <w:rsid w:val="00055803"/>
    <w:rsid w:val="0007077C"/>
    <w:rsid w:val="0007221B"/>
    <w:rsid w:val="000C016D"/>
    <w:rsid w:val="00113225"/>
    <w:rsid w:val="00143368"/>
    <w:rsid w:val="0019139B"/>
    <w:rsid w:val="001A2A6A"/>
    <w:rsid w:val="001A61A8"/>
    <w:rsid w:val="001B079B"/>
    <w:rsid w:val="00215283"/>
    <w:rsid w:val="00235DE7"/>
    <w:rsid w:val="002537FD"/>
    <w:rsid w:val="00255D23"/>
    <w:rsid w:val="00264784"/>
    <w:rsid w:val="002735FB"/>
    <w:rsid w:val="00277696"/>
    <w:rsid w:val="00285646"/>
    <w:rsid w:val="002A1D17"/>
    <w:rsid w:val="002B7E11"/>
    <w:rsid w:val="002E189B"/>
    <w:rsid w:val="00307013"/>
    <w:rsid w:val="003219BC"/>
    <w:rsid w:val="003374B1"/>
    <w:rsid w:val="003435A2"/>
    <w:rsid w:val="00347806"/>
    <w:rsid w:val="00351D43"/>
    <w:rsid w:val="00355B90"/>
    <w:rsid w:val="00361C9A"/>
    <w:rsid w:val="003A3E10"/>
    <w:rsid w:val="003C2635"/>
    <w:rsid w:val="003C2BCB"/>
    <w:rsid w:val="003F0406"/>
    <w:rsid w:val="003F4873"/>
    <w:rsid w:val="003F4F20"/>
    <w:rsid w:val="003F7577"/>
    <w:rsid w:val="004036E4"/>
    <w:rsid w:val="00407A80"/>
    <w:rsid w:val="0041105E"/>
    <w:rsid w:val="00431A5E"/>
    <w:rsid w:val="00436FF4"/>
    <w:rsid w:val="00460817"/>
    <w:rsid w:val="004674F8"/>
    <w:rsid w:val="0049277D"/>
    <w:rsid w:val="004A6E4F"/>
    <w:rsid w:val="004C6774"/>
    <w:rsid w:val="004D3566"/>
    <w:rsid w:val="004F2FB1"/>
    <w:rsid w:val="004F79C4"/>
    <w:rsid w:val="005069A5"/>
    <w:rsid w:val="0051669D"/>
    <w:rsid w:val="005207B8"/>
    <w:rsid w:val="0053510E"/>
    <w:rsid w:val="005442F0"/>
    <w:rsid w:val="005571A9"/>
    <w:rsid w:val="005736D4"/>
    <w:rsid w:val="005804D6"/>
    <w:rsid w:val="005848C3"/>
    <w:rsid w:val="0059338E"/>
    <w:rsid w:val="005C08CF"/>
    <w:rsid w:val="005E154B"/>
    <w:rsid w:val="0060615E"/>
    <w:rsid w:val="006172F6"/>
    <w:rsid w:val="00636A12"/>
    <w:rsid w:val="00653F45"/>
    <w:rsid w:val="006573C3"/>
    <w:rsid w:val="00666B1B"/>
    <w:rsid w:val="00670BD8"/>
    <w:rsid w:val="00684F1C"/>
    <w:rsid w:val="0069361E"/>
    <w:rsid w:val="00695F1C"/>
    <w:rsid w:val="006974F1"/>
    <w:rsid w:val="006B3DA3"/>
    <w:rsid w:val="006B6208"/>
    <w:rsid w:val="006C5BE1"/>
    <w:rsid w:val="006D4791"/>
    <w:rsid w:val="006D5A96"/>
    <w:rsid w:val="006E46EA"/>
    <w:rsid w:val="006F571E"/>
    <w:rsid w:val="00703373"/>
    <w:rsid w:val="0076196E"/>
    <w:rsid w:val="00763CD1"/>
    <w:rsid w:val="00775175"/>
    <w:rsid w:val="0078173E"/>
    <w:rsid w:val="007C273A"/>
    <w:rsid w:val="007F5A49"/>
    <w:rsid w:val="008159A8"/>
    <w:rsid w:val="0081796E"/>
    <w:rsid w:val="008316F2"/>
    <w:rsid w:val="00856870"/>
    <w:rsid w:val="0086020D"/>
    <w:rsid w:val="00874AA2"/>
    <w:rsid w:val="008876F3"/>
    <w:rsid w:val="00915E8D"/>
    <w:rsid w:val="0095070C"/>
    <w:rsid w:val="0095185A"/>
    <w:rsid w:val="00961BF9"/>
    <w:rsid w:val="009762B4"/>
    <w:rsid w:val="00981D90"/>
    <w:rsid w:val="009A076D"/>
    <w:rsid w:val="009A1D7F"/>
    <w:rsid w:val="009C05F9"/>
    <w:rsid w:val="009D1B11"/>
    <w:rsid w:val="009F1E93"/>
    <w:rsid w:val="00A129DD"/>
    <w:rsid w:val="00A50786"/>
    <w:rsid w:val="00A84DD2"/>
    <w:rsid w:val="00A87268"/>
    <w:rsid w:val="00A91E09"/>
    <w:rsid w:val="00A949D7"/>
    <w:rsid w:val="00AC1286"/>
    <w:rsid w:val="00AC2EB1"/>
    <w:rsid w:val="00AC4EE8"/>
    <w:rsid w:val="00AD58DE"/>
    <w:rsid w:val="00AF5A61"/>
    <w:rsid w:val="00B040DE"/>
    <w:rsid w:val="00B16355"/>
    <w:rsid w:val="00B25A2D"/>
    <w:rsid w:val="00B307FB"/>
    <w:rsid w:val="00B308A9"/>
    <w:rsid w:val="00B31E9B"/>
    <w:rsid w:val="00B35993"/>
    <w:rsid w:val="00B41730"/>
    <w:rsid w:val="00B42A56"/>
    <w:rsid w:val="00B57E11"/>
    <w:rsid w:val="00B716C6"/>
    <w:rsid w:val="00B71AC5"/>
    <w:rsid w:val="00B85AE4"/>
    <w:rsid w:val="00BB5B13"/>
    <w:rsid w:val="00BF6CC7"/>
    <w:rsid w:val="00C3716A"/>
    <w:rsid w:val="00C57AC7"/>
    <w:rsid w:val="00C72797"/>
    <w:rsid w:val="00C8642F"/>
    <w:rsid w:val="00CB3A84"/>
    <w:rsid w:val="00CC4066"/>
    <w:rsid w:val="00CC45AD"/>
    <w:rsid w:val="00CC6F59"/>
    <w:rsid w:val="00CC7F6C"/>
    <w:rsid w:val="00CD06E7"/>
    <w:rsid w:val="00D058E9"/>
    <w:rsid w:val="00D23DD6"/>
    <w:rsid w:val="00D32225"/>
    <w:rsid w:val="00D56B34"/>
    <w:rsid w:val="00D63F85"/>
    <w:rsid w:val="00D84375"/>
    <w:rsid w:val="00D877ED"/>
    <w:rsid w:val="00DA0472"/>
    <w:rsid w:val="00DA7BFD"/>
    <w:rsid w:val="00DB1928"/>
    <w:rsid w:val="00E00BA6"/>
    <w:rsid w:val="00E168F6"/>
    <w:rsid w:val="00E1732C"/>
    <w:rsid w:val="00E33239"/>
    <w:rsid w:val="00E62916"/>
    <w:rsid w:val="00E67B3D"/>
    <w:rsid w:val="00E80C5B"/>
    <w:rsid w:val="00EB10AA"/>
    <w:rsid w:val="00EC6C84"/>
    <w:rsid w:val="00ED69DA"/>
    <w:rsid w:val="00EE00EC"/>
    <w:rsid w:val="00EE7253"/>
    <w:rsid w:val="00F07CBC"/>
    <w:rsid w:val="00F10BE4"/>
    <w:rsid w:val="00F1737D"/>
    <w:rsid w:val="00F24EC0"/>
    <w:rsid w:val="00F30C1E"/>
    <w:rsid w:val="00F421BF"/>
    <w:rsid w:val="00F42B26"/>
    <w:rsid w:val="00F478D0"/>
    <w:rsid w:val="00F60044"/>
    <w:rsid w:val="00F70F86"/>
    <w:rsid w:val="00F74A3D"/>
    <w:rsid w:val="00F76D4E"/>
    <w:rsid w:val="00FB0BC7"/>
    <w:rsid w:val="00FB27A6"/>
    <w:rsid w:val="00FD0907"/>
    <w:rsid w:val="00FE7C5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BE2FC99-0ABF-4F6A-A5A8-829396DC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A80"/>
    <w:pPr>
      <w:spacing w:line="240" w:lineRule="atLeast"/>
    </w:pPr>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7A80"/>
    <w:pPr>
      <w:spacing w:line="220" w:lineRule="atLeast"/>
    </w:pPr>
    <w:rPr>
      <w:rFonts w:ascii="Times" w:hAnsi="Times"/>
      <w:sz w:val="18"/>
    </w:rPr>
  </w:style>
  <w:style w:type="paragraph" w:customStyle="1" w:styleId="SGAGreeting">
    <w:name w:val="SGAGreeting"/>
    <w:basedOn w:val="SGAText"/>
    <w:next w:val="SGAText"/>
    <w:rsid w:val="00407A80"/>
    <w:pPr>
      <w:spacing w:before="240"/>
    </w:pPr>
  </w:style>
  <w:style w:type="paragraph" w:customStyle="1" w:styleId="SGAText">
    <w:name w:val="SGAText"/>
    <w:basedOn w:val="Normal"/>
    <w:rsid w:val="00E00BA6"/>
    <w:pPr>
      <w:spacing w:line="260" w:lineRule="atLeast"/>
    </w:pPr>
    <w:rPr>
      <w:sz w:val="22"/>
      <w:szCs w:val="22"/>
    </w:rPr>
  </w:style>
  <w:style w:type="paragraph" w:customStyle="1" w:styleId="SGASignature">
    <w:name w:val="SGASignature"/>
    <w:basedOn w:val="SGAText"/>
    <w:next w:val="SGAText"/>
    <w:rsid w:val="00407A80"/>
    <w:pPr>
      <w:tabs>
        <w:tab w:val="left" w:pos="4763"/>
      </w:tabs>
      <w:spacing w:before="720" w:after="480"/>
    </w:pPr>
  </w:style>
  <w:style w:type="paragraph" w:customStyle="1" w:styleId="SGADate">
    <w:name w:val="SGADate"/>
    <w:basedOn w:val="SGAText"/>
    <w:next w:val="SGAConcernig"/>
    <w:rsid w:val="00E00BA6"/>
    <w:pPr>
      <w:spacing w:before="960"/>
    </w:pPr>
  </w:style>
  <w:style w:type="paragraph" w:customStyle="1" w:styleId="SGAConcernig">
    <w:name w:val="SGAConcernig"/>
    <w:basedOn w:val="SGAText"/>
    <w:next w:val="SGAText"/>
    <w:rsid w:val="00E00BA6"/>
    <w:pPr>
      <w:spacing w:after="480"/>
    </w:pPr>
    <w:rPr>
      <w:b/>
    </w:rPr>
  </w:style>
  <w:style w:type="paragraph" w:styleId="Footer">
    <w:name w:val="footer"/>
    <w:basedOn w:val="Normal"/>
    <w:rsid w:val="00407A80"/>
    <w:pPr>
      <w:spacing w:line="240" w:lineRule="auto"/>
    </w:pPr>
    <w:rPr>
      <w:sz w:val="16"/>
    </w:rPr>
  </w:style>
  <w:style w:type="paragraph" w:customStyle="1" w:styleId="SGAFooter">
    <w:name w:val="SGAFooter"/>
    <w:basedOn w:val="SGAText"/>
    <w:rsid w:val="00E00BA6"/>
    <w:pPr>
      <w:spacing w:line="144" w:lineRule="atLeast"/>
    </w:pPr>
    <w:rPr>
      <w:sz w:val="12"/>
      <w:szCs w:val="12"/>
    </w:rPr>
  </w:style>
  <w:style w:type="character" w:styleId="PageNumber">
    <w:name w:val="page number"/>
    <w:basedOn w:val="DefaultParagraphFont"/>
    <w:rsid w:val="00407A80"/>
  </w:style>
  <w:style w:type="paragraph" w:customStyle="1" w:styleId="SGAHeader">
    <w:name w:val="SGAHeader"/>
    <w:basedOn w:val="Normal"/>
    <w:rsid w:val="00E00BA6"/>
    <w:pPr>
      <w:spacing w:line="170" w:lineRule="atLeast"/>
    </w:pPr>
    <w:rPr>
      <w:noProof/>
      <w:sz w:val="15"/>
      <w:szCs w:val="15"/>
    </w:rPr>
  </w:style>
  <w:style w:type="paragraph" w:customStyle="1" w:styleId="SGAHeaderBold">
    <w:name w:val="SGAHeaderBold"/>
    <w:basedOn w:val="SGAHeader"/>
    <w:rsid w:val="00E00BA6"/>
    <w:rPr>
      <w:b/>
    </w:rPr>
  </w:style>
  <w:style w:type="paragraph" w:styleId="BalloonText">
    <w:name w:val="Balloon Text"/>
    <w:basedOn w:val="Normal"/>
    <w:semiHidden/>
    <w:rsid w:val="00E168F6"/>
    <w:rPr>
      <w:rFonts w:ascii="Tahoma" w:hAnsi="Tahoma" w:cs="Tahoma"/>
      <w:sz w:val="16"/>
      <w:szCs w:val="16"/>
    </w:rPr>
  </w:style>
  <w:style w:type="paragraph" w:customStyle="1" w:styleId="SGARecipient">
    <w:name w:val="SGARecipient"/>
    <w:basedOn w:val="SGAText"/>
    <w:rsid w:val="00E00BA6"/>
    <w:pPr>
      <w:tabs>
        <w:tab w:val="left" w:pos="4763"/>
      </w:tabs>
    </w:pPr>
  </w:style>
  <w:style w:type="paragraph" w:customStyle="1" w:styleId="SGAHeaderSender">
    <w:name w:val="SGAHeaderSender"/>
    <w:basedOn w:val="SGAHeader"/>
    <w:autoRedefine/>
    <w:rsid w:val="00D84375"/>
    <w:pPr>
      <w:tabs>
        <w:tab w:val="left" w:pos="680"/>
      </w:tabs>
    </w:pPr>
  </w:style>
  <w:style w:type="paragraph" w:customStyle="1" w:styleId="FAOreferences">
    <w:name w:val="FAO references"/>
    <w:basedOn w:val="Normal"/>
    <w:link w:val="FAOreferencesChar"/>
    <w:rsid w:val="005848C3"/>
    <w:pPr>
      <w:overflowPunct w:val="0"/>
      <w:autoSpaceDE w:val="0"/>
      <w:autoSpaceDN w:val="0"/>
      <w:adjustRightInd w:val="0"/>
      <w:spacing w:before="20" w:after="40" w:line="240" w:lineRule="auto"/>
      <w:textAlignment w:val="baseline"/>
    </w:pPr>
    <w:rPr>
      <w:lang w:val="en-AU" w:eastAsia="en-AU"/>
    </w:rPr>
  </w:style>
  <w:style w:type="character" w:customStyle="1" w:styleId="FAOreferencesChar">
    <w:name w:val="FAO references Char"/>
    <w:link w:val="FAOreferences"/>
    <w:rsid w:val="005848C3"/>
    <w:rPr>
      <w:rFonts w:ascii="Arial" w:hAnsi="Arial"/>
      <w:lang w:val="en-AU" w:eastAsia="en-AU"/>
    </w:rPr>
  </w:style>
  <w:style w:type="paragraph" w:styleId="ListParagraph">
    <w:name w:val="List Paragraph"/>
    <w:basedOn w:val="Normal"/>
    <w:uiPriority w:val="34"/>
    <w:qFormat/>
    <w:rsid w:val="0069361E"/>
    <w:pPr>
      <w:ind w:left="720"/>
      <w:contextualSpacing/>
    </w:pPr>
  </w:style>
  <w:style w:type="table" w:styleId="TableGrid">
    <w:name w:val="Table Grid"/>
    <w:basedOn w:val="TableNormal"/>
    <w:uiPriority w:val="39"/>
    <w:rsid w:val="0004436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B27A6"/>
    <w:pPr>
      <w:spacing w:line="240" w:lineRule="auto"/>
    </w:pPr>
  </w:style>
  <w:style w:type="character" w:customStyle="1" w:styleId="FootnoteTextChar">
    <w:name w:val="Footnote Text Char"/>
    <w:basedOn w:val="DefaultParagraphFont"/>
    <w:link w:val="FootnoteText"/>
    <w:uiPriority w:val="99"/>
    <w:semiHidden/>
    <w:rsid w:val="00FB27A6"/>
    <w:rPr>
      <w:rFonts w:ascii="Arial" w:hAnsi="Arial"/>
      <w:lang w:val="en-US" w:eastAsia="en-US"/>
    </w:rPr>
  </w:style>
  <w:style w:type="character" w:styleId="FootnoteReference">
    <w:name w:val="footnote reference"/>
    <w:basedOn w:val="DefaultParagraphFont"/>
    <w:uiPriority w:val="99"/>
    <w:semiHidden/>
    <w:unhideWhenUsed/>
    <w:rsid w:val="00FB27A6"/>
    <w:rPr>
      <w:vertAlign w:val="superscript"/>
    </w:rPr>
  </w:style>
  <w:style w:type="character" w:styleId="Hyperlink">
    <w:name w:val="Hyperlink"/>
    <w:basedOn w:val="DefaultParagraphFont"/>
    <w:uiPriority w:val="99"/>
    <w:unhideWhenUsed/>
    <w:rsid w:val="00FB27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91366">
      <w:bodyDiv w:val="1"/>
      <w:marLeft w:val="0"/>
      <w:marRight w:val="0"/>
      <w:marTop w:val="0"/>
      <w:marBottom w:val="0"/>
      <w:divBdr>
        <w:top w:val="none" w:sz="0" w:space="0" w:color="auto"/>
        <w:left w:val="none" w:sz="0" w:space="0" w:color="auto"/>
        <w:bottom w:val="none" w:sz="0" w:space="0" w:color="auto"/>
        <w:right w:val="none" w:sz="0" w:space="0" w:color="auto"/>
      </w:divBdr>
    </w:div>
    <w:div w:id="676735048">
      <w:bodyDiv w:val="1"/>
      <w:marLeft w:val="0"/>
      <w:marRight w:val="0"/>
      <w:marTop w:val="0"/>
      <w:marBottom w:val="0"/>
      <w:divBdr>
        <w:top w:val="none" w:sz="0" w:space="0" w:color="auto"/>
        <w:left w:val="none" w:sz="0" w:space="0" w:color="auto"/>
        <w:bottom w:val="none" w:sz="0" w:space="0" w:color="auto"/>
        <w:right w:val="none" w:sz="0" w:space="0" w:color="auto"/>
      </w:divBdr>
    </w:div>
    <w:div w:id="1590886897">
      <w:bodyDiv w:val="1"/>
      <w:marLeft w:val="0"/>
      <w:marRight w:val="0"/>
      <w:marTop w:val="0"/>
      <w:marBottom w:val="0"/>
      <w:divBdr>
        <w:top w:val="none" w:sz="0" w:space="0" w:color="auto"/>
        <w:left w:val="none" w:sz="0" w:space="0" w:color="auto"/>
        <w:bottom w:val="none" w:sz="0" w:space="0" w:color="auto"/>
        <w:right w:val="none" w:sz="0" w:space="0" w:color="auto"/>
      </w:divBdr>
    </w:div>
    <w:div w:id="1793204268">
      <w:bodyDiv w:val="1"/>
      <w:marLeft w:val="0"/>
      <w:marRight w:val="0"/>
      <w:marTop w:val="0"/>
      <w:marBottom w:val="0"/>
      <w:divBdr>
        <w:top w:val="none" w:sz="0" w:space="0" w:color="auto"/>
        <w:left w:val="none" w:sz="0" w:space="0" w:color="auto"/>
        <w:bottom w:val="none" w:sz="0" w:space="0" w:color="auto"/>
        <w:right w:val="none" w:sz="0" w:space="0" w:color="auto"/>
      </w:divBdr>
    </w:div>
    <w:div w:id="182257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_rels/footnotes.xml.rels><?xml version="1.0" encoding="UTF-8" standalone="yes"?>
<Relationships xmlns="http://schemas.openxmlformats.org/package/2006/relationships"><Relationship Id="rId1" Type="http://schemas.openxmlformats.org/officeDocument/2006/relationships/hyperlink" Target="https://www.who.int/pq-vector-control/prequalified-lists/actellic_300c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13027\AppData\Roaming\Microsoft\Templates\Syngenta\A4_letterhead_logo.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E1470-C888-4603-825F-229927E7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A4_letterhead_logo.dotx</Template>
  <TotalTime>0</TotalTime>
  <Pages>10</Pages>
  <Words>2806</Words>
  <Characters>15996</Characters>
  <Application>Microsoft Office Word</Application>
  <DocSecurity>0</DocSecurity>
  <Lines>133</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Firstname Lastname</vt:lpstr>
      <vt:lpstr>Firstname Lastname</vt:lpstr>
    </vt:vector>
  </TitlesOfParts>
  <Company>Syngenta</Company>
  <LinksUpToDate>false</LinksUpToDate>
  <CharactersWithSpaces>18765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Firstname Lastname</dc:title>
  <dc:creator>Syngenta</dc:creator>
  <cp:lastModifiedBy>Baker Simon GBJH</cp:lastModifiedBy>
  <cp:revision>3</cp:revision>
  <cp:lastPrinted>2019-11-13T11:22:00Z</cp:lastPrinted>
  <dcterms:created xsi:type="dcterms:W3CDTF">2019-11-13T11:28:00Z</dcterms:created>
  <dcterms:modified xsi:type="dcterms:W3CDTF">2019-11-13T11:28:00Z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1.0004</vt:lpwstr>
  </property>
</Properties>
</file>